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15172" w14:textId="77777777" w:rsidR="005729B2" w:rsidRDefault="00000000">
      <w:pPr>
        <w:pStyle w:val="aa"/>
      </w:pPr>
      <w:r>
        <w:t>Бюджет, экономика, закупки и выбор подрядчиков</w:t>
      </w:r>
    </w:p>
    <w:p w14:paraId="2E9A76DC" w14:textId="77777777" w:rsidR="005729B2" w:rsidRDefault="00000000">
      <w:pPr>
        <w:pStyle w:val="1"/>
      </w:pPr>
      <w:r>
        <w:t>1. Состав затрат и ответственность за расходы</w:t>
      </w:r>
    </w:p>
    <w:p w14:paraId="76CEB022" w14:textId="77777777" w:rsidR="005729B2" w:rsidRDefault="00000000">
      <w:r>
        <w:t>Для учебного проекта разделим затраты на разовые, регулярные и зависящие от использования. Разовые связаны с исследованием, разработкой, настройкой и переносом данных. Регулярные — с поддержкой и подписками. Переменные могут зависеть от числа операций, объема хранения или пользователей. Одна статья не должна учитываться дважды.</w:t>
      </w:r>
    </w:p>
    <w:p w14:paraId="7247FCDD" w14:textId="77777777" w:rsidR="005729B2" w:rsidRDefault="00000000">
      <w:r>
        <w:t>FinOps Foundation рассматривает управление стоимостью технологий как совместную работу инженерных, финансовых и бизнес-участников с ориентацией на ценность и своевременные данные [2]. В небольшом проекте это можно реализовать через понятного владельца расходов, словарь статей и регулярную сверку факта с прогнозом.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3685"/>
        <w:gridCol w:w="3685"/>
      </w:tblGrid>
      <w:tr w:rsidR="005729B2" w14:paraId="78E3E928" w14:textId="77777777">
        <w:trPr>
          <w:cantSplit/>
          <w:tblHeader/>
          <w:jc w:val="center"/>
        </w:trPr>
        <w:tc>
          <w:tcPr>
            <w:tcW w:w="2154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EBC9582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Статья</w:t>
            </w:r>
          </w:p>
        </w:tc>
        <w:tc>
          <w:tcPr>
            <w:tcW w:w="3685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3C0735F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Что уточнить</w:t>
            </w:r>
          </w:p>
        </w:tc>
        <w:tc>
          <w:tcPr>
            <w:tcW w:w="3685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916C080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Типичный пропуск</w:t>
            </w:r>
          </w:p>
        </w:tc>
      </w:tr>
      <w:tr w:rsidR="005729B2" w14:paraId="1F091471" w14:textId="77777777">
        <w:trPr>
          <w:cantSplit/>
          <w:jc w:val="center"/>
        </w:trPr>
        <w:tc>
          <w:tcPr>
            <w:tcW w:w="2154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A748AB5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Разработка</w:t>
            </w:r>
          </w:p>
        </w:tc>
        <w:tc>
          <w:tcPr>
            <w:tcW w:w="368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3FA203D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Включены ли анализ и проверки?</w:t>
            </w:r>
          </w:p>
        </w:tc>
        <w:tc>
          <w:tcPr>
            <w:tcW w:w="368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DB39FDF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Приемка считается бесплатной</w:t>
            </w:r>
          </w:p>
        </w:tc>
      </w:tr>
      <w:tr w:rsidR="005729B2" w14:paraId="4DF613DE" w14:textId="77777777">
        <w:trPr>
          <w:cantSplit/>
          <w:jc w:val="center"/>
        </w:trPr>
        <w:tc>
          <w:tcPr>
            <w:tcW w:w="2154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A61F237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Инфраструктура</w:t>
            </w:r>
          </w:p>
        </w:tc>
        <w:tc>
          <w:tcPr>
            <w:tcW w:w="368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A96068A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Какая единица тарификации?</w:t>
            </w:r>
          </w:p>
        </w:tc>
        <w:tc>
          <w:tcPr>
            <w:tcW w:w="368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885BED0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Забыты тестовые среды</w:t>
            </w:r>
          </w:p>
        </w:tc>
      </w:tr>
      <w:tr w:rsidR="005729B2" w14:paraId="7A2EDF39" w14:textId="77777777">
        <w:trPr>
          <w:cantSplit/>
          <w:jc w:val="center"/>
        </w:trPr>
        <w:tc>
          <w:tcPr>
            <w:tcW w:w="2154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4651179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Поддержка</w:t>
            </w:r>
          </w:p>
        </w:tc>
        <w:tc>
          <w:tcPr>
            <w:tcW w:w="368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45C4963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Кто и в какие периоды отвечает?</w:t>
            </w:r>
          </w:p>
        </w:tc>
        <w:tc>
          <w:tcPr>
            <w:tcW w:w="368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37853AD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Нет ресурса после запуска</w:t>
            </w:r>
          </w:p>
        </w:tc>
      </w:tr>
      <w:tr w:rsidR="005729B2" w14:paraId="3F4D16EE" w14:textId="77777777">
        <w:trPr>
          <w:cantSplit/>
          <w:jc w:val="center"/>
        </w:trPr>
        <w:tc>
          <w:tcPr>
            <w:tcW w:w="2154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3368391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Интеграция</w:t>
            </w:r>
          </w:p>
        </w:tc>
        <w:tc>
          <w:tcPr>
            <w:tcW w:w="368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D62473E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Кто поддерживает оба конца связи?</w:t>
            </w:r>
          </w:p>
        </w:tc>
        <w:tc>
          <w:tcPr>
            <w:tcW w:w="368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E53C8DA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Учтено только первое подключение</w:t>
            </w:r>
          </w:p>
        </w:tc>
      </w:tr>
      <w:tr w:rsidR="005729B2" w14:paraId="35BC8431" w14:textId="77777777">
        <w:trPr>
          <w:cantSplit/>
          <w:jc w:val="center"/>
        </w:trPr>
        <w:tc>
          <w:tcPr>
            <w:tcW w:w="2154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B758A19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Выход</w:t>
            </w:r>
          </w:p>
        </w:tc>
        <w:tc>
          <w:tcPr>
            <w:tcW w:w="368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73F8832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Как выгрузить данные и заменить решение?</w:t>
            </w:r>
          </w:p>
        </w:tc>
        <w:tc>
          <w:tcPr>
            <w:tcW w:w="368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B58B8F6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Перенос считается мгновенным</w:t>
            </w:r>
          </w:p>
        </w:tc>
      </w:tr>
    </w:tbl>
    <w:p w14:paraId="1C2828F0" w14:textId="77777777" w:rsidR="005729B2" w:rsidRDefault="005729B2">
      <w:pPr>
        <w:spacing w:after="20" w:line="36" w:lineRule="auto"/>
      </w:pPr>
    </w:p>
    <w:p w14:paraId="4BB7508F" w14:textId="77777777" w:rsidR="005729B2" w:rsidRDefault="00000000">
      <w:pPr>
        <w:pStyle w:val="21"/>
      </w:pPr>
      <w:r>
        <w:t>Бюджет и прогноз</w:t>
      </w:r>
    </w:p>
    <w:p w14:paraId="529A61D4" w14:textId="77777777" w:rsidR="005729B2" w:rsidRDefault="00000000">
      <w:r>
        <w:t>Бюджет — согласованное ограничение или план расходования. Прогноз — актуальная оценка ожидаемых расходов. Если прогноз вырос, нельзя автоматически считать бюджет увеличенным: требуется решение. И наоборот, экономия по одной статье не означает разрешения на новые функции без согласования приоритетов.</w:t>
      </w:r>
    </w:p>
    <w:p w14:paraId="07A7E0BB" w14:textId="77777777" w:rsidR="005729B2" w:rsidRDefault="00000000">
      <w:r>
        <w:t>Для каждой статьи полезно указать количество, ставку, период, источник и уверенность. Неизвестную стоимость обозначают диапазоном или задачей уточнения. Ноль в смете должен означать отсутствие расхода в принятой модели, а не забытый вопрос.</w:t>
      </w:r>
    </w:p>
    <w:p w14:paraId="4E6509D3" w14:textId="77777777" w:rsidR="005729B2" w:rsidRDefault="00000000">
      <w:r>
        <w:br w:type="page"/>
      </w:r>
    </w:p>
    <w:p w14:paraId="1536BDB8" w14:textId="77777777" w:rsidR="005729B2" w:rsidRDefault="00000000">
      <w:pPr>
        <w:pStyle w:val="1"/>
      </w:pPr>
      <w:r>
        <w:lastRenderedPageBreak/>
        <w:t>2. TCO: сравниваем одинаковые условия</w:t>
      </w:r>
    </w:p>
    <w:p w14:paraId="7018FC0E" w14:textId="77777777" w:rsidR="005729B2" w:rsidRDefault="00000000">
      <w:r>
        <w:t>Условный расчет на 12 месяцев. Вариант A — готовый сервис, вариант B — собственная разработка. Все числа в тысячах тенге, это не реальные цены. Ежемесячные расходы включают принятый в модели объем эксплуатации и поддержки; остальные статьи не входят в них. Дисконтирование, инфляция и остаточная стоимость для простоты не учитываются.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2"/>
        <w:gridCol w:w="2211"/>
        <w:gridCol w:w="2211"/>
      </w:tblGrid>
      <w:tr w:rsidR="005729B2" w14:paraId="5708B35F" w14:textId="77777777">
        <w:trPr>
          <w:cantSplit/>
          <w:tblHeader/>
          <w:jc w:val="center"/>
        </w:trPr>
        <w:tc>
          <w:tcPr>
            <w:tcW w:w="5102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98A987B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Статья, тыс. тг</w:t>
            </w:r>
          </w:p>
        </w:tc>
        <w:tc>
          <w:tcPr>
            <w:tcW w:w="2211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5084FAC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A: сервис</w:t>
            </w:r>
          </w:p>
        </w:tc>
        <w:tc>
          <w:tcPr>
            <w:tcW w:w="2211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AE53AAC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B: разработка</w:t>
            </w:r>
          </w:p>
        </w:tc>
      </w:tr>
      <w:tr w:rsidR="005729B2" w14:paraId="46D910A0" w14:textId="77777777">
        <w:trPr>
          <w:cantSplit/>
          <w:jc w:val="center"/>
        </w:trPr>
        <w:tc>
          <w:tcPr>
            <w:tcW w:w="5102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3D62A05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Первичная настройка / разработка</w:t>
            </w:r>
          </w:p>
        </w:tc>
        <w:tc>
          <w:tcPr>
            <w:tcW w:w="2211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A16A183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180</w:t>
            </w:r>
          </w:p>
        </w:tc>
        <w:tc>
          <w:tcPr>
            <w:tcW w:w="2211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13EF20F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1 100</w:t>
            </w:r>
          </w:p>
        </w:tc>
      </w:tr>
      <w:tr w:rsidR="005729B2" w14:paraId="61E883CB" w14:textId="77777777">
        <w:trPr>
          <w:cantSplit/>
          <w:jc w:val="center"/>
        </w:trPr>
        <w:tc>
          <w:tcPr>
            <w:tcW w:w="510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05FA88A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Эксплуатация в месяц</w:t>
            </w:r>
          </w:p>
        </w:tc>
        <w:tc>
          <w:tcPr>
            <w:tcW w:w="2211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0D16484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90</w:t>
            </w:r>
          </w:p>
        </w:tc>
        <w:tc>
          <w:tcPr>
            <w:tcW w:w="2211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C09E023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45</w:t>
            </w:r>
          </w:p>
        </w:tc>
      </w:tr>
      <w:tr w:rsidR="005729B2" w14:paraId="229E0DFB" w14:textId="77777777">
        <w:trPr>
          <w:cantSplit/>
          <w:jc w:val="center"/>
        </w:trPr>
        <w:tc>
          <w:tcPr>
            <w:tcW w:w="5102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014DDDC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Отдельная интеграция</w:t>
            </w:r>
          </w:p>
        </w:tc>
        <w:tc>
          <w:tcPr>
            <w:tcW w:w="2211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B9015F8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220</w:t>
            </w:r>
          </w:p>
        </w:tc>
        <w:tc>
          <w:tcPr>
            <w:tcW w:w="2211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1A784CA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120</w:t>
            </w:r>
          </w:p>
        </w:tc>
      </w:tr>
      <w:tr w:rsidR="005729B2" w14:paraId="08C30B68" w14:textId="77777777">
        <w:trPr>
          <w:cantSplit/>
          <w:jc w:val="center"/>
        </w:trPr>
        <w:tc>
          <w:tcPr>
            <w:tcW w:w="510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48B0C6F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Обучение</w:t>
            </w:r>
          </w:p>
        </w:tc>
        <w:tc>
          <w:tcPr>
            <w:tcW w:w="2211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568C549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80</w:t>
            </w:r>
          </w:p>
        </w:tc>
        <w:tc>
          <w:tcPr>
            <w:tcW w:w="2211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F653586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80</w:t>
            </w:r>
          </w:p>
        </w:tc>
      </w:tr>
      <w:tr w:rsidR="005729B2" w14:paraId="00171D6E" w14:textId="77777777">
        <w:trPr>
          <w:cantSplit/>
          <w:jc w:val="center"/>
        </w:trPr>
        <w:tc>
          <w:tcPr>
            <w:tcW w:w="5102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D995153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Планируемый выход и перенос</w:t>
            </w:r>
          </w:p>
        </w:tc>
        <w:tc>
          <w:tcPr>
            <w:tcW w:w="2211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DD1AE00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120</w:t>
            </w:r>
          </w:p>
        </w:tc>
        <w:tc>
          <w:tcPr>
            <w:tcW w:w="2211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00D0F77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60</w:t>
            </w:r>
          </w:p>
        </w:tc>
      </w:tr>
      <w:tr w:rsidR="005729B2" w14:paraId="644414F2" w14:textId="77777777">
        <w:trPr>
          <w:cantSplit/>
          <w:jc w:val="center"/>
        </w:trPr>
        <w:tc>
          <w:tcPr>
            <w:tcW w:w="510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1D0A63B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Итого за 12 месяцев</w:t>
            </w:r>
          </w:p>
        </w:tc>
        <w:tc>
          <w:tcPr>
            <w:tcW w:w="2211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C85F1CA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1 680</w:t>
            </w:r>
          </w:p>
        </w:tc>
        <w:tc>
          <w:tcPr>
            <w:tcW w:w="2211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999970A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1 900</w:t>
            </w:r>
          </w:p>
        </w:tc>
      </w:tr>
    </w:tbl>
    <w:p w14:paraId="22E4660B" w14:textId="77777777" w:rsidR="005729B2" w:rsidRDefault="005729B2">
      <w:pPr>
        <w:spacing w:after="20" w:line="36" w:lineRule="auto"/>
      </w:pPr>
    </w:p>
    <w:p w14:paraId="2F2B8B5D" w14:textId="77777777" w:rsidR="005729B2" w:rsidRDefault="00000000">
      <w:r>
        <w:t>Для A: 180 + 12 × 90 + 220 + 80 + 120 = 1 680. Для B: 1 100 + 12 × 45 + 120 + 80 + 60 = 1 900. На этом горизонте A дешевле на 220 тысяч, но расчет не доказывает его пригодность по безопасности, функциональности и ресурсам внедрения.</w:t>
      </w:r>
    </w:p>
    <w:p w14:paraId="348E40AF" w14:textId="77777777" w:rsidR="005729B2" w:rsidRDefault="00000000">
      <w:r>
        <w:t>На 36 месяцев при тех же ставках получится A = 3 840, B = 2 980. Вывод меняется, однако предположение о неизменности расходов на три года может быть слабым. Собственная система потребует доработок, а сервис может изменить тариф. Поэтому результат нужно проверять сценариями, а не объявлять точным прогнозом.</w:t>
      </w:r>
    </w:p>
    <w:p w14:paraId="50544181" w14:textId="77777777" w:rsidR="005729B2" w:rsidRDefault="00000000">
      <w:r>
        <w:t>TCO — совокупная стоимость владения в заданных границах. Она не равна прибыли и не учитывает пользу автоматически. Для решения нужно сопоставить также срок получения результата, ограничения данных, надежность и возможность поддержки. Дешевый вариант, не решающий обязательную задачу, не становится предпочтительным из-за одной суммы.</w:t>
      </w:r>
    </w:p>
    <w:p w14:paraId="4B61DA17" w14:textId="77777777" w:rsidR="005729B2" w:rsidRDefault="00000000">
      <w:r>
        <w:br w:type="page"/>
      </w:r>
    </w:p>
    <w:p w14:paraId="03F8713C" w14:textId="77777777" w:rsidR="005729B2" w:rsidRDefault="00000000">
      <w:pPr>
        <w:pStyle w:val="1"/>
      </w:pPr>
      <w:r>
        <w:lastRenderedPageBreak/>
        <w:t>3. Реальный кейс: Dropbox Magic Pocket</w:t>
      </w:r>
    </w:p>
    <w:p w14:paraId="6D1CCC35" w14:textId="77777777" w:rsidR="005729B2" w:rsidRDefault="00000000">
      <w:r>
        <w:t>Досье источника. 6 мая 2016 года James Cowling описал Magic Pocket — собственную систему Dropbox для хранения содержимого файлов, отличаемого от метаданных о файлах и пользователях. Публикация рассматривает требования к нагрузке, сохранности, масштабу и простоте; содержимое хранится блоками с распределением и избыточностью между регионами [1].</w:t>
      </w:r>
    </w:p>
    <w:p w14:paraId="04D2FD0D" w14:textId="77777777" w:rsidR="005729B2" w:rsidRDefault="00000000">
      <w:r>
        <w:t>Это инженерный рассказ о конкретной инфраструктуре крупной компании. В используемой публикации нет достаточной финансовой таблицы для расчета экономии нашего проекта. Поэтому мы не приводим неподтвержденный процент снижения расходов и не выводим правило «всегда уходить от внешнего облака».</w:t>
      </w:r>
    </w:p>
    <w:p w14:paraId="2D428F80" w14:textId="77777777" w:rsidR="005729B2" w:rsidRDefault="00000000">
      <w:pPr>
        <w:pStyle w:val="21"/>
      </w:pPr>
      <w:r>
        <w:t>Build or buy как управленческий выбор</w:t>
      </w:r>
    </w:p>
    <w:p w14:paraId="6D87E8AE" w14:textId="77777777" w:rsidR="005729B2" w:rsidRDefault="00000000">
      <w:r>
        <w:t>Собственное решение дает возможность адаптировать технологию к специфической нагрузке, но одновременно переносит ответственность за разработку, эксплуатацию и восстановление внутрь организации. Покупка внешнего сервиса меняет распределение работы, но не снимает обязанности проверить условия, зависимость и выход. Это общий анализ альтернатив, а не дополнительные факты о Dropbox.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5839"/>
      </w:tblGrid>
      <w:tr w:rsidR="005729B2" w14:paraId="3DAEF9AF" w14:textId="77777777">
        <w:trPr>
          <w:cantSplit/>
          <w:tblHeader/>
          <w:jc w:val="center"/>
        </w:trPr>
        <w:tc>
          <w:tcPr>
            <w:tcW w:w="3685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1F64A7C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Вопрос перед собственной разработкой</w:t>
            </w:r>
          </w:p>
        </w:tc>
        <w:tc>
          <w:tcPr>
            <w:tcW w:w="5839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094207C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Что должно быть известно</w:t>
            </w:r>
          </w:p>
        </w:tc>
      </w:tr>
      <w:tr w:rsidR="005729B2" w14:paraId="11F634CE" w14:textId="77777777">
        <w:trPr>
          <w:cantSplit/>
          <w:jc w:val="center"/>
        </w:trPr>
        <w:tc>
          <w:tcPr>
            <w:tcW w:w="368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CAD70BC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Есть ли существенная специфика?</w:t>
            </w:r>
          </w:p>
        </w:tc>
        <w:tc>
          <w:tcPr>
            <w:tcW w:w="5839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4CAC50C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Почему готовые варианты недостаточны</w:t>
            </w:r>
          </w:p>
        </w:tc>
      </w:tr>
      <w:tr w:rsidR="005729B2" w14:paraId="049B211D" w14:textId="77777777">
        <w:trPr>
          <w:cantSplit/>
          <w:jc w:val="center"/>
        </w:trPr>
        <w:tc>
          <w:tcPr>
            <w:tcW w:w="368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D547557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Доступна ли компетенция?</w:t>
            </w:r>
          </w:p>
        </w:tc>
        <w:tc>
          <w:tcPr>
            <w:tcW w:w="5839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C264E6B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Кто создаст и поддержит решение</w:t>
            </w:r>
          </w:p>
        </w:tc>
      </w:tr>
      <w:tr w:rsidR="005729B2" w14:paraId="689ED748" w14:textId="77777777">
        <w:trPr>
          <w:cantSplit/>
          <w:jc w:val="center"/>
        </w:trPr>
        <w:tc>
          <w:tcPr>
            <w:tcW w:w="368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E51F887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Какова нагрузка?</w:t>
            </w:r>
          </w:p>
        </w:tc>
        <w:tc>
          <w:tcPr>
            <w:tcW w:w="5839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9B82637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На каких данных основан масштаб</w:t>
            </w:r>
          </w:p>
        </w:tc>
      </w:tr>
      <w:tr w:rsidR="005729B2" w14:paraId="4915015D" w14:textId="77777777">
        <w:trPr>
          <w:cantSplit/>
          <w:jc w:val="center"/>
        </w:trPr>
        <w:tc>
          <w:tcPr>
            <w:tcW w:w="368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0B5D40D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Как проверяется сохранность?</w:t>
            </w:r>
          </w:p>
        </w:tc>
        <w:tc>
          <w:tcPr>
            <w:tcW w:w="5839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A94C9F8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Кто принимает восстановление и миграцию</w:t>
            </w:r>
          </w:p>
        </w:tc>
      </w:tr>
      <w:tr w:rsidR="005729B2" w14:paraId="76727BC9" w14:textId="77777777">
        <w:trPr>
          <w:cantSplit/>
          <w:jc w:val="center"/>
        </w:trPr>
        <w:tc>
          <w:tcPr>
            <w:tcW w:w="368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5E2378F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Что изменится при росте?</w:t>
            </w:r>
          </w:p>
        </w:tc>
        <w:tc>
          <w:tcPr>
            <w:tcW w:w="5839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27A3C93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Сценарии затрат и ограничений</w:t>
            </w:r>
          </w:p>
        </w:tc>
      </w:tr>
    </w:tbl>
    <w:p w14:paraId="2103CA8D" w14:textId="77777777" w:rsidR="005729B2" w:rsidRDefault="005729B2">
      <w:pPr>
        <w:spacing w:after="20" w:line="36" w:lineRule="auto"/>
      </w:pPr>
    </w:p>
    <w:p w14:paraId="297E58DE" w14:textId="77777777" w:rsidR="005729B2" w:rsidRDefault="00000000">
      <w:r>
        <w:t>Для «Кампус Ресурса» наличие крупного инфраструктурного кейса не обосновывает строительство собственного хранилища. Переносимая логика — сначала требования и характер использования, затем экономический и организационный выбор. Масштаб и ресурсы учебного проекта принципиально иные.</w:t>
      </w:r>
    </w:p>
    <w:p w14:paraId="6F2407B9" w14:textId="77777777" w:rsidR="005729B2" w:rsidRDefault="00000000">
      <w:r>
        <w:br w:type="page"/>
      </w:r>
    </w:p>
    <w:p w14:paraId="5449448F" w14:textId="77777777" w:rsidR="005729B2" w:rsidRDefault="00000000">
      <w:pPr>
        <w:pStyle w:val="1"/>
      </w:pPr>
      <w:r>
        <w:lastRenderedPageBreak/>
        <w:t>4. Подрядчик: предмет договора и приемка</w:t>
      </w:r>
    </w:p>
    <w:p w14:paraId="19D801A3" w14:textId="77777777" w:rsidR="005729B2" w:rsidRDefault="00000000">
      <w:r>
        <w:t>Запрос предложений должен описывать пользовательский результат, границы, данные, интеграции, требования качества и формат передачи. Если заказчик сообщает только «нужна современная платформа», предложения поставщиков окажутся несопоставимыми. Один включит поддержку и тестирование, другой — только разработку интерфейса.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5"/>
        <w:gridCol w:w="6860"/>
      </w:tblGrid>
      <w:tr w:rsidR="005729B2" w14:paraId="14D9665D" w14:textId="77777777">
        <w:trPr>
          <w:cantSplit/>
          <w:tblHeader/>
          <w:jc w:val="center"/>
        </w:trPr>
        <w:tc>
          <w:tcPr>
            <w:tcW w:w="2665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0EC37BF8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Критерий сравнения</w:t>
            </w:r>
          </w:p>
        </w:tc>
        <w:tc>
          <w:tcPr>
            <w:tcW w:w="6860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C77A3F2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Проверяемый вопрос</w:t>
            </w:r>
          </w:p>
        </w:tc>
      </w:tr>
      <w:tr w:rsidR="005729B2" w14:paraId="53501EF3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338C38A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Соответствие задаче</w:t>
            </w:r>
          </w:p>
        </w:tc>
        <w:tc>
          <w:tcPr>
            <w:tcW w:w="6860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3B28974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Показан ли полный сценарий на прототипе?</w:t>
            </w:r>
          </w:p>
        </w:tc>
      </w:tr>
      <w:tr w:rsidR="005729B2" w14:paraId="319FA99C" w14:textId="77777777">
        <w:trPr>
          <w:cantSplit/>
          <w:jc w:val="center"/>
        </w:trPr>
        <w:tc>
          <w:tcPr>
            <w:tcW w:w="266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3C03B20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Состав цены</w:t>
            </w:r>
          </w:p>
        </w:tc>
        <w:tc>
          <w:tcPr>
            <w:tcW w:w="6860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0A91537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Что включено и какие работы оплачиваются отдельно?</w:t>
            </w:r>
          </w:p>
        </w:tc>
      </w:tr>
      <w:tr w:rsidR="005729B2" w14:paraId="26424E8B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53A9C37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Приемка</w:t>
            </w:r>
          </w:p>
        </w:tc>
        <w:tc>
          <w:tcPr>
            <w:tcW w:w="6860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487BBF4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Какие тесты и документы подтверждают завершение?</w:t>
            </w:r>
          </w:p>
        </w:tc>
      </w:tr>
      <w:tr w:rsidR="005729B2" w14:paraId="0E3C5567" w14:textId="77777777">
        <w:trPr>
          <w:cantSplit/>
          <w:jc w:val="center"/>
        </w:trPr>
        <w:tc>
          <w:tcPr>
            <w:tcW w:w="266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8CBE83C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Доступ и права</w:t>
            </w:r>
          </w:p>
        </w:tc>
        <w:tc>
          <w:tcPr>
            <w:tcW w:w="6860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2199396A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Что передается заказчику и на каких условиях?</w:t>
            </w:r>
          </w:p>
        </w:tc>
      </w:tr>
      <w:tr w:rsidR="005729B2" w14:paraId="20131EB5" w14:textId="77777777">
        <w:trPr>
          <w:cantSplit/>
          <w:jc w:val="center"/>
        </w:trPr>
        <w:tc>
          <w:tcPr>
            <w:tcW w:w="2665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BA5053E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Сопровождение</w:t>
            </w:r>
          </w:p>
        </w:tc>
        <w:tc>
          <w:tcPr>
            <w:tcW w:w="6860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44C6F789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Как обрабатываются дефекты и срочные проблемы?</w:t>
            </w:r>
          </w:p>
        </w:tc>
      </w:tr>
      <w:tr w:rsidR="005729B2" w14:paraId="25D37054" w14:textId="77777777">
        <w:trPr>
          <w:cantSplit/>
          <w:jc w:val="center"/>
        </w:trPr>
        <w:tc>
          <w:tcPr>
            <w:tcW w:w="2665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88DDABA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Выход</w:t>
            </w:r>
          </w:p>
        </w:tc>
        <w:tc>
          <w:tcPr>
            <w:tcW w:w="6860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50CC44D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Можно ли получить данные в пригодном формате?</w:t>
            </w:r>
          </w:p>
        </w:tc>
      </w:tr>
    </w:tbl>
    <w:p w14:paraId="3B88FC64" w14:textId="77777777" w:rsidR="005729B2" w:rsidRDefault="005729B2">
      <w:pPr>
        <w:spacing w:after="20" w:line="36" w:lineRule="auto"/>
      </w:pPr>
    </w:p>
    <w:p w14:paraId="114752CF" w14:textId="77777777" w:rsidR="005729B2" w:rsidRDefault="00000000">
      <w:r>
        <w:t>В учебном сравнении можно использовать обезличенные условные предложения, а не обращаться к реальным компаниям. Оплата по времени подходит для неопределенной работы, но требует прозрачности результата и расходов. Фиксированная цена требует достаточно определенного объема и понятного порядка изменения. Ни одна модель не устраняет риск автоматически.</w:t>
      </w:r>
    </w:p>
    <w:p w14:paraId="784097CD" w14:textId="77777777" w:rsidR="005729B2" w:rsidRDefault="00000000">
      <w:pPr>
        <w:pStyle w:val="21"/>
      </w:pPr>
      <w:r>
        <w:t>Контроль не должен заканчиваться демонстрацией</w:t>
      </w:r>
    </w:p>
    <w:p w14:paraId="610C940C" w14:textId="77777777" w:rsidR="005729B2" w:rsidRDefault="00000000">
      <w:r>
        <w:t>Приемка включает согласованные сценарии, ошибки, права доступа, инструкции и передачу знаний. Красивый показ в среде подрядчика не подтверждает работоспособность в условиях заказчика. Стоит заранее определить, кто готовит тестовые данные и кто вправе подписать результат.</w:t>
      </w:r>
    </w:p>
    <w:p w14:paraId="3A9884E0" w14:textId="77777777" w:rsidR="005729B2" w:rsidRDefault="00000000">
      <w:r>
        <w:t>Юридические формулировки о правах, персональных данных и ответственности проверяются компетентным специалистом применительно к договору и юрисдикции. Лекция дает управленческий перечень вопросов, а не готовое юридическое заключение. Важные условия нельзя оставлять неявными только ради ускорения закупки.</w:t>
      </w:r>
    </w:p>
    <w:p w14:paraId="082E4A2A" w14:textId="77777777" w:rsidR="005729B2" w:rsidRDefault="00000000">
      <w:r>
        <w:br w:type="page"/>
      </w:r>
    </w:p>
    <w:p w14:paraId="72DFD6FD" w14:textId="77777777" w:rsidR="005729B2" w:rsidRDefault="00000000">
      <w:pPr>
        <w:pStyle w:val="1"/>
      </w:pPr>
      <w:r>
        <w:lastRenderedPageBreak/>
        <w:t>5. Чувствительность и экономический результат</w:t>
      </w:r>
    </w:p>
    <w:p w14:paraId="1047AEC9" w14:textId="77777777" w:rsidR="005729B2" w:rsidRDefault="00000000">
      <w:r>
        <w:t>Вернемся к учебной TCO-модели. Если ежемесячная эксплуатация собственной системы вырастет с 45 до 70 тысяч, годовой итог станет 1 100 + 12 × 70 + 120 + 80 + 60 = 2 200 тысяч. Это на 300 тысяч больше исходной оценки B. Такая проверка показывает, почему точность операционной статьи важна для решения.</w:t>
      </w:r>
    </w:p>
    <w:p w14:paraId="290906B3" w14:textId="77777777" w:rsidR="005729B2" w:rsidRDefault="00000000">
      <w:r>
        <w:t>Отдельно оцените ожидаемую пользу. Пусть проект дает дополнительные 80 полезных операций в месяц, условный вклад от каждой — 1 500 тг, а дополнительные регулярные расходы — 70 000 тг. Месячный дополнительный результат модели: 80 × 1 500 − 70 000 = 50 000 тг. При первоначальном вложении 600 000 тг простой срок покрытия составит 12 месяцев при неизменности предположений.</w:t>
      </w:r>
    </w:p>
    <w:p w14:paraId="5A52C4E9" w14:textId="77777777" w:rsidR="005729B2" w:rsidRDefault="00000000">
      <w:r>
        <w:t>Этот расчет не является доказанной окупаемостью. Дополнительность операций нужно установить, вклад — определить после соответствующих переменных затрат, а горизонт — согласовать. Для университетского сервиса денежный вклад может быть неприменим: тогда оценивают время, качество и доступность, не придумывая выручку.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123"/>
      </w:tblGrid>
      <w:tr w:rsidR="005729B2" w14:paraId="5B6B2686" w14:textId="77777777">
        <w:trPr>
          <w:cantSplit/>
          <w:tblHeader/>
          <w:jc w:val="center"/>
        </w:trPr>
        <w:tc>
          <w:tcPr>
            <w:tcW w:w="3402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4590E37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Сигнал пересмотра</w:t>
            </w:r>
          </w:p>
        </w:tc>
        <w:tc>
          <w:tcPr>
            <w:tcW w:w="6123" w:type="dxa"/>
            <w:shd w:val="clear" w:color="auto" w:fill="19354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7831937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b/>
                <w:color w:val="FFFFFF"/>
                <w:sz w:val="20"/>
              </w:rPr>
              <w:t>Вопрос руководителя</w:t>
            </w:r>
          </w:p>
        </w:tc>
      </w:tr>
      <w:tr w:rsidR="005729B2" w14:paraId="0E54DAAC" w14:textId="77777777">
        <w:trPr>
          <w:cantSplit/>
          <w:jc w:val="center"/>
        </w:trPr>
        <w:tc>
          <w:tcPr>
            <w:tcW w:w="3402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8B1D0D3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Расходы на операцию растут</w:t>
            </w:r>
          </w:p>
        </w:tc>
        <w:tc>
          <w:tcPr>
            <w:tcW w:w="6123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18A508F2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Изменилась цена, нагрузка или эффективность?</w:t>
            </w:r>
          </w:p>
        </w:tc>
      </w:tr>
      <w:tr w:rsidR="005729B2" w14:paraId="6BFFFBC7" w14:textId="77777777">
        <w:trPr>
          <w:cantSplit/>
          <w:jc w:val="center"/>
        </w:trPr>
        <w:tc>
          <w:tcPr>
            <w:tcW w:w="340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6855B925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Польза ниже ожиданий</w:t>
            </w:r>
          </w:p>
        </w:tc>
        <w:tc>
          <w:tcPr>
            <w:tcW w:w="6123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3BACB747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Недостаточен спрос или не работает процесс?</w:t>
            </w:r>
          </w:p>
        </w:tc>
      </w:tr>
      <w:tr w:rsidR="005729B2" w14:paraId="7C76CF47" w14:textId="77777777">
        <w:trPr>
          <w:cantSplit/>
          <w:jc w:val="center"/>
        </w:trPr>
        <w:tc>
          <w:tcPr>
            <w:tcW w:w="3402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66AEB17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Выход дороже плана</w:t>
            </w:r>
          </w:p>
        </w:tc>
        <w:tc>
          <w:tcPr>
            <w:tcW w:w="6123" w:type="dxa"/>
            <w:shd w:val="clear" w:color="auto" w:fill="F0F4F6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EC9BD7A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Какие данные и зависимости не были учтены?</w:t>
            </w:r>
          </w:p>
        </w:tc>
      </w:tr>
      <w:tr w:rsidR="005729B2" w14:paraId="276A5680" w14:textId="77777777">
        <w:trPr>
          <w:cantSplit/>
          <w:jc w:val="center"/>
        </w:trPr>
        <w:tc>
          <w:tcPr>
            <w:tcW w:w="3402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74FACE73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Объем расширяется</w:t>
            </w:r>
          </w:p>
        </w:tc>
        <w:tc>
          <w:tcPr>
            <w:tcW w:w="6123" w:type="dxa"/>
            <w:tcMar>
              <w:top w:w="90" w:type="dxa"/>
              <w:left w:w="105" w:type="dxa"/>
              <w:bottom w:w="90" w:type="dxa"/>
              <w:right w:w="105" w:type="dxa"/>
            </w:tcMar>
            <w:vAlign w:val="center"/>
          </w:tcPr>
          <w:p w14:paraId="54CF1520" w14:textId="77777777" w:rsidR="005729B2" w:rsidRDefault="00000000">
            <w:pPr>
              <w:spacing w:before="20" w:after="40" w:line="257" w:lineRule="auto"/>
            </w:pPr>
            <w:r>
              <w:rPr>
                <w:rFonts w:ascii="Arial" w:eastAsia="Arial" w:hAnsi="Arial" w:cs="Arial"/>
                <w:color w:val="19354A"/>
                <w:sz w:val="20"/>
              </w:rPr>
              <w:t>Кто разрешил новое обязательство?</w:t>
            </w:r>
          </w:p>
        </w:tc>
      </w:tr>
    </w:tbl>
    <w:p w14:paraId="3585393A" w14:textId="77777777" w:rsidR="005729B2" w:rsidRDefault="005729B2">
      <w:pPr>
        <w:spacing w:after="20" w:line="36" w:lineRule="auto"/>
      </w:pPr>
    </w:p>
    <w:p w14:paraId="52F13FE9" w14:textId="77777777" w:rsidR="005729B2" w:rsidRDefault="00000000">
      <w:r>
        <w:t>Ежемесячный отчет полезно разделять на факт, прогноз до завершения и решения. Само отклонение еще не объясняет причину. Руководитель должен показать, что меняется в дальнейшем плане и какие обязательные условия остаются защищены.</w:t>
      </w:r>
    </w:p>
    <w:p w14:paraId="0C2D9F52" w14:textId="77777777" w:rsidR="005729B2" w:rsidRDefault="00000000">
      <w:r>
        <w:br w:type="page"/>
      </w:r>
    </w:p>
    <w:p w14:paraId="4D45BFD1" w14:textId="77777777" w:rsidR="005729B2" w:rsidRDefault="00000000">
      <w:pPr>
        <w:pStyle w:val="1"/>
      </w:pPr>
      <w:r>
        <w:lastRenderedPageBreak/>
        <w:t>6. Самостоятельная работа и самопроверка</w:t>
      </w:r>
    </w:p>
    <w:p w14:paraId="07DC8328" w14:textId="77777777" w:rsidR="005729B2" w:rsidRDefault="00000000">
      <w:pPr>
        <w:pStyle w:val="21"/>
      </w:pPr>
      <w:r>
        <w:t>Задание: бюджет и выбор способа реализации</w:t>
      </w:r>
    </w:p>
    <w:p w14:paraId="31A03AEC" w14:textId="77777777" w:rsidR="005729B2" w:rsidRDefault="00000000">
      <w:r>
        <w:t>Сравните два варианта учебного проекта: готовый сервис и собственный прототип. Создайте смету на 12 месяцев с минимум шестью статьями, укажите единицы, допущения и исключения. Составьте список обязательных критериев и отдельно — сравнительных предпочтений. Выберите вариант условно, назвав необходимые проверки.</w:t>
      </w:r>
    </w:p>
    <w:p w14:paraId="6B013BB6" w14:textId="77777777" w:rsidR="005729B2" w:rsidRDefault="00000000">
      <w:r>
        <w:t>Измените две наиболее неопределенные статьи и рассчитайте новый итог. Подготовьте пять вопросов поставщику, критерии приемки и план выхода. Объем — 3–4 страницы. Реальные коммерческие предложения, покупка подписок и регистрация платежных данных не нужны.</w:t>
      </w:r>
    </w:p>
    <w:p w14:paraId="295C9600" w14:textId="77777777" w:rsidR="005729B2" w:rsidRDefault="00000000">
      <w:pPr>
        <w:pStyle w:val="21"/>
      </w:pPr>
      <w:r>
        <w:t>Критерии оценивания: 100 баллов</w:t>
      </w:r>
    </w:p>
    <w:p w14:paraId="5FF35298" w14:textId="77777777" w:rsidR="005729B2" w:rsidRDefault="00000000">
      <w:r>
        <w:t>Полнота и отсутствие двойного счета — 25; сопоставимость альтернатив — 20; корректность расчетов — 20; чувствительность и риски — 20; приемка и выход — 15.</w:t>
      </w:r>
    </w:p>
    <w:p w14:paraId="14B46DD5" w14:textId="77777777" w:rsidR="005729B2" w:rsidRDefault="00000000">
      <w:pPr>
        <w:pStyle w:val="21"/>
      </w:pPr>
      <w:r>
        <w:t>Вопросы с ответами-ориентирами</w:t>
      </w:r>
    </w:p>
    <w:p w14:paraId="68E64B55" w14:textId="77777777" w:rsidR="005729B2" w:rsidRDefault="00000000">
      <w:r>
        <w:t>1. Почему TCO не равна цене покупки? Ориентир: она включает принятый состав расходов за весь выбранный период.</w:t>
      </w:r>
    </w:p>
    <w:p w14:paraId="65E4FC9B" w14:textId="77777777" w:rsidR="005729B2" w:rsidRDefault="00000000">
      <w:r>
        <w:t>2. Можно ли копировать экономический вывод Dropbox? Ориентир: нет, масштаб и данные отличаются, а источник не дает расчет для нашего проекта.</w:t>
      </w:r>
    </w:p>
    <w:p w14:paraId="1CBBA266" w14:textId="77777777" w:rsidR="005729B2" w:rsidRDefault="00000000">
      <w:r>
        <w:t>3. Почему рост прогноза не увеличивает бюджет автоматически? Ориентир: изменение обязательств требует полномочного решения.</w:t>
      </w:r>
    </w:p>
    <w:p w14:paraId="6551DF98" w14:textId="77777777" w:rsidR="005729B2" w:rsidRDefault="00000000">
      <w:r>
        <w:t>4. Когда дешевый вариант исключается до ранжирования? Ориентир: когда он не выполняет обязательные требования или создает недопустимый риск.</w:t>
      </w:r>
    </w:p>
    <w:p w14:paraId="10FBC16F" w14:textId="77777777" w:rsidR="005729B2" w:rsidRDefault="00000000">
      <w:pPr>
        <w:pStyle w:val="Callout"/>
        <w:pBdr>
          <w:left w:val="single" w:sz="16" w:space="8" w:color="246A73"/>
        </w:pBdr>
        <w:shd w:val="clear" w:color="auto" w:fill="EDF4F5"/>
      </w:pPr>
      <w:r>
        <w:t>Перед сдачей проверьте одинаковый горизонт, состав обслуживания и статус каждой суммы: факт, расчетное допущение или неизвестная величина.</w:t>
      </w:r>
    </w:p>
    <w:p w14:paraId="2538726D" w14:textId="77777777" w:rsidR="005729B2" w:rsidRDefault="00000000">
      <w:r>
        <w:br w:type="page"/>
      </w:r>
    </w:p>
    <w:p w14:paraId="018A94CC" w14:textId="77777777" w:rsidR="005729B2" w:rsidRDefault="00000000">
      <w:pPr>
        <w:pStyle w:val="1"/>
      </w:pPr>
      <w:r>
        <w:lastRenderedPageBreak/>
        <w:t>Итоги, понятия и источники</w:t>
      </w:r>
    </w:p>
    <w:p w14:paraId="3C7AF761" w14:textId="77777777" w:rsidR="005729B2" w:rsidRDefault="00000000">
      <w:r>
        <w:t>Экономическое управление требует видеть весь жизненный цикл затрат и сравнивать сопоставимые варианты. Реальный кейс Dropbox показывает значение специфики нагрузки и ответственности, но не дает готового финансового ответа для небольшого проекта. Смета, сценарии, приемка и план выхода должны поддерживать одно обоснованное решение.</w:t>
      </w:r>
    </w:p>
    <w:p w14:paraId="54711097" w14:textId="77777777" w:rsidR="005729B2" w:rsidRDefault="00000000">
      <w:pPr>
        <w:pStyle w:val="21"/>
      </w:pPr>
      <w:r>
        <w:t>Мини-глоссарий</w:t>
      </w:r>
    </w:p>
    <w:p w14:paraId="109659AF" w14:textId="77777777" w:rsidR="005729B2" w:rsidRDefault="00000000">
      <w:pPr>
        <w:spacing w:after="80"/>
      </w:pPr>
      <w:r>
        <w:rPr>
          <w:b/>
        </w:rPr>
        <w:t>TCO.</w:t>
      </w:r>
      <w:r>
        <w:t xml:space="preserve"> Совокупная стоимость владения в явно заданных границах и периоде.</w:t>
      </w:r>
    </w:p>
    <w:p w14:paraId="72FB4678" w14:textId="77777777" w:rsidR="005729B2" w:rsidRDefault="00000000">
      <w:pPr>
        <w:spacing w:after="80"/>
      </w:pPr>
      <w:r>
        <w:rPr>
          <w:b/>
        </w:rPr>
        <w:t>Бюджет.</w:t>
      </w:r>
      <w:r>
        <w:t xml:space="preserve"> Согласованный план или ограничение расходов.</w:t>
      </w:r>
    </w:p>
    <w:p w14:paraId="2CCB56C4" w14:textId="77777777" w:rsidR="005729B2" w:rsidRDefault="00000000">
      <w:pPr>
        <w:spacing w:after="80"/>
      </w:pPr>
      <w:r>
        <w:rPr>
          <w:b/>
        </w:rPr>
        <w:t>Прогноз.</w:t>
      </w:r>
      <w:r>
        <w:t xml:space="preserve"> Обновляемая оценка ожидаемых затрат и результата.</w:t>
      </w:r>
    </w:p>
    <w:p w14:paraId="0FCC69B5" w14:textId="77777777" w:rsidR="005729B2" w:rsidRDefault="00000000">
      <w:pPr>
        <w:spacing w:after="80"/>
      </w:pPr>
      <w:r>
        <w:rPr>
          <w:b/>
        </w:rPr>
        <w:t>Build or buy.</w:t>
      </w:r>
      <w:r>
        <w:t xml:space="preserve"> Выбор между собственной разработкой и внешним решением.</w:t>
      </w:r>
    </w:p>
    <w:p w14:paraId="300009B0" w14:textId="77777777" w:rsidR="005729B2" w:rsidRDefault="00000000">
      <w:pPr>
        <w:spacing w:after="80"/>
      </w:pPr>
      <w:r>
        <w:rPr>
          <w:b/>
        </w:rPr>
        <w:t>Дополнительный результат.</w:t>
      </w:r>
      <w:r>
        <w:t xml:space="preserve"> Разница относительно обоснованного базового сценария.</w:t>
      </w:r>
    </w:p>
    <w:p w14:paraId="0C8082FA" w14:textId="77777777" w:rsidR="005729B2" w:rsidRDefault="00000000">
      <w:pPr>
        <w:spacing w:after="80"/>
      </w:pPr>
      <w:r>
        <w:rPr>
          <w:b/>
        </w:rPr>
        <w:t>Стоимость выхода.</w:t>
      </w:r>
      <w:r>
        <w:t xml:space="preserve"> Затраты на прекращение использования и перенос зависимостей.</w:t>
      </w:r>
    </w:p>
    <w:p w14:paraId="392D62B9" w14:textId="77777777" w:rsidR="005729B2" w:rsidRDefault="00000000">
      <w:pPr>
        <w:pStyle w:val="21"/>
      </w:pPr>
      <w:r>
        <w:t>Источники и практическое чтение</w:t>
      </w:r>
    </w:p>
    <w:p w14:paraId="1D312C00" w14:textId="4D2CFB58" w:rsidR="005729B2" w:rsidRDefault="00000000">
      <w:pPr>
        <w:spacing w:line="252" w:lineRule="auto"/>
      </w:pPr>
      <w:r>
        <w:rPr>
          <w:rFonts w:ascii="Arial" w:eastAsia="Arial" w:hAnsi="Arial" w:cs="Arial"/>
          <w:color w:val="19354A"/>
          <w:sz w:val="21"/>
        </w:rPr>
        <w:t xml:space="preserve">[1] </w:t>
      </w:r>
      <w:hyperlink r:id="rId8">
        <w:r>
          <w:rPr>
            <w:rFonts w:ascii="Arial" w:hAnsi="Arial"/>
            <w:color w:val="246A73"/>
            <w:sz w:val="21"/>
            <w:u w:val="single"/>
          </w:rPr>
          <w:t xml:space="preserve">James </w:t>
        </w:r>
        <w:proofErr w:type="spellStart"/>
        <w:r>
          <w:rPr>
            <w:rFonts w:ascii="Arial" w:hAnsi="Arial"/>
            <w:color w:val="246A73"/>
            <w:sz w:val="21"/>
            <w:u w:val="single"/>
          </w:rPr>
          <w:t>Cowling</w:t>
        </w:r>
        <w:proofErr w:type="spellEnd"/>
        <w:r>
          <w:rPr>
            <w:rFonts w:ascii="Arial" w:hAnsi="Arial"/>
            <w:color w:val="246A73"/>
            <w:sz w:val="21"/>
            <w:u w:val="single"/>
          </w:rPr>
          <w:t xml:space="preserve"> / </w:t>
        </w:r>
        <w:proofErr w:type="spellStart"/>
        <w:r>
          <w:rPr>
            <w:rFonts w:ascii="Arial" w:hAnsi="Arial"/>
            <w:color w:val="246A73"/>
            <w:sz w:val="21"/>
            <w:u w:val="single"/>
          </w:rPr>
          <w:t>Dropbox</w:t>
        </w:r>
        <w:proofErr w:type="spellEnd"/>
        <w:r>
          <w:rPr>
            <w:rFonts w:ascii="Arial" w:hAnsi="Arial"/>
            <w:color w:val="246A73"/>
            <w:sz w:val="21"/>
            <w:u w:val="single"/>
          </w:rPr>
          <w:t>. Inside the Magic Pocket. 06.05.2016.</w:t>
        </w:r>
      </w:hyperlink>
      <w:r>
        <w:rPr>
          <w:rFonts w:ascii="Arial" w:eastAsia="Arial" w:hAnsi="Arial" w:cs="Arial"/>
          <w:color w:val="596772"/>
          <w:sz w:val="20"/>
        </w:rPr>
        <w:t xml:space="preserve"> </w:t>
      </w:r>
    </w:p>
    <w:p w14:paraId="560C19FF" w14:textId="51B334D6" w:rsidR="005729B2" w:rsidRDefault="00000000" w:rsidP="00034C75">
      <w:pPr>
        <w:spacing w:line="252" w:lineRule="auto"/>
      </w:pPr>
      <w:r w:rsidRPr="00034C75">
        <w:rPr>
          <w:rFonts w:ascii="Arial" w:eastAsia="Arial" w:hAnsi="Arial" w:cs="Arial"/>
          <w:color w:val="19354A"/>
          <w:sz w:val="21"/>
          <w:lang w:val="en-US"/>
        </w:rPr>
        <w:t xml:space="preserve">[2] </w:t>
      </w:r>
      <w:hyperlink r:id="rId9">
        <w:r w:rsidRPr="00034C75">
          <w:rPr>
            <w:rFonts w:ascii="Arial" w:hAnsi="Arial"/>
            <w:color w:val="246A73"/>
            <w:sz w:val="21"/>
            <w:u w:val="single"/>
            <w:lang w:val="en-US"/>
          </w:rPr>
          <w:t>FinOps Foundation. FinOps Framework Overview.</w:t>
        </w:r>
      </w:hyperlink>
      <w:r w:rsidRPr="00034C75">
        <w:rPr>
          <w:rFonts w:ascii="Arial" w:eastAsia="Arial" w:hAnsi="Arial" w:cs="Arial"/>
          <w:color w:val="596772"/>
          <w:sz w:val="20"/>
          <w:lang w:val="en-US"/>
        </w:rPr>
        <w:t xml:space="preserve"> </w:t>
      </w:r>
    </w:p>
    <w:sectPr w:rsidR="005729B2" w:rsidSect="00034616">
      <w:headerReference w:type="default" r:id="rId10"/>
      <w:footerReference w:type="default" r:id="rId11"/>
      <w:pgSz w:w="11906" w:h="16838"/>
      <w:pgMar w:top="1162" w:right="1191" w:bottom="1077" w:left="1191" w:header="510" w:footer="48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812D3F" w14:textId="77777777" w:rsidR="00944AB1" w:rsidRDefault="00944AB1">
      <w:pPr>
        <w:spacing w:after="0" w:line="240" w:lineRule="auto"/>
      </w:pPr>
      <w:r>
        <w:separator/>
      </w:r>
    </w:p>
  </w:endnote>
  <w:endnote w:type="continuationSeparator" w:id="0">
    <w:p w14:paraId="40530333" w14:textId="77777777" w:rsidR="00944AB1" w:rsidRDefault="00944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80C43" w14:textId="50F5D490" w:rsidR="005729B2" w:rsidRDefault="005729B2">
    <w:pPr>
      <w:tabs>
        <w:tab w:val="right" w:pos="952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8376F" w14:textId="77777777" w:rsidR="00944AB1" w:rsidRDefault="00944AB1">
      <w:pPr>
        <w:spacing w:after="0" w:line="240" w:lineRule="auto"/>
      </w:pPr>
      <w:r>
        <w:separator/>
      </w:r>
    </w:p>
  </w:footnote>
  <w:footnote w:type="continuationSeparator" w:id="0">
    <w:p w14:paraId="725CA391" w14:textId="77777777" w:rsidR="00944AB1" w:rsidRDefault="00944A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2FA92" w14:textId="69DCA6BF" w:rsidR="005729B2" w:rsidRDefault="005729B2">
    <w:pPr>
      <w:pBdr>
        <w:bottom w:val="single" w:sz="4" w:space="0" w:color="D6DFE4"/>
      </w:pBdr>
      <w:tabs>
        <w:tab w:val="right" w:pos="9524"/>
      </w:tabs>
      <w:spacing w:after="1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0584292">
    <w:abstractNumId w:val="8"/>
  </w:num>
  <w:num w:numId="2" w16cid:durableId="1259219896">
    <w:abstractNumId w:val="6"/>
  </w:num>
  <w:num w:numId="3" w16cid:durableId="271977273">
    <w:abstractNumId w:val="5"/>
  </w:num>
  <w:num w:numId="4" w16cid:durableId="307900057">
    <w:abstractNumId w:val="4"/>
  </w:num>
  <w:num w:numId="5" w16cid:durableId="906064853">
    <w:abstractNumId w:val="7"/>
  </w:num>
  <w:num w:numId="6" w16cid:durableId="228005326">
    <w:abstractNumId w:val="3"/>
  </w:num>
  <w:num w:numId="7" w16cid:durableId="417294296">
    <w:abstractNumId w:val="2"/>
  </w:num>
  <w:num w:numId="8" w16cid:durableId="1635401450">
    <w:abstractNumId w:val="1"/>
  </w:num>
  <w:num w:numId="9" w16cid:durableId="631860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4C75"/>
    <w:rsid w:val="0006063C"/>
    <w:rsid w:val="0015074B"/>
    <w:rsid w:val="0029639D"/>
    <w:rsid w:val="00326F90"/>
    <w:rsid w:val="005729B2"/>
    <w:rsid w:val="00944AB1"/>
    <w:rsid w:val="00A07BC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1F7D5B"/>
  <w14:defaultImageDpi w14:val="300"/>
  <w15:docId w15:val="{A91833FC-19BD-45BC-8E2A-8AF9D1723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40" w:line="278" w:lineRule="auto"/>
    </w:pPr>
    <w:rPr>
      <w:rFonts w:ascii="Times New Roman" w:hAnsi="Times New Roman" w:cs="Times New Roman"/>
      <w:sz w:val="25"/>
      <w:lang w:val="ru-RU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after="160" w:line="252" w:lineRule="auto"/>
      <w:outlineLvl w:val="0"/>
    </w:pPr>
    <w:rPr>
      <w:rFonts w:asciiTheme="majorHAnsi" w:eastAsiaTheme="majorEastAsia" w:hAnsiTheme="majorHAnsi" w:cstheme="majorBidi"/>
      <w:b/>
      <w:bCs/>
      <w:color w:val="19354A"/>
      <w:sz w:val="3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 w:after="160" w:line="252" w:lineRule="auto"/>
      <w:outlineLvl w:val="1"/>
    </w:pPr>
    <w:rPr>
      <w:rFonts w:asciiTheme="majorHAnsi" w:eastAsiaTheme="majorEastAsia" w:hAnsiTheme="majorHAnsi" w:cstheme="majorBidi"/>
      <w:b/>
      <w:bCs/>
      <w:color w:val="246A73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52" w:lineRule="auto"/>
      <w:contextualSpacing/>
    </w:pPr>
    <w:rPr>
      <w:rFonts w:asciiTheme="majorHAnsi" w:eastAsiaTheme="majorEastAsia" w:hAnsiTheme="majorHAnsi" w:cstheme="majorBidi"/>
      <w:b/>
      <w:color w:val="19354A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llout">
    <w:name w:val="Callout"/>
    <w:basedOn w:val="a1"/>
    <w:pPr>
      <w:keepLines/>
      <w:spacing w:before="100" w:after="180" w:line="264" w:lineRule="auto"/>
      <w:ind w:left="142" w:right="85"/>
    </w:pPr>
    <w:rPr>
      <w:rFonts w:ascii="Arial" w:hAnsi="Arial" w:cs="Arial"/>
      <w:color w:val="19354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opbox.tech/infrastructure/inside-the-magic-pocke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finops.org/framewor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1615</Words>
  <Characters>9208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Бюджет, экономика, закупки и выбор подрядчиков</dc:title>
  <dc:subject>Управление цифровыми проектами — лекция 8</dc:subject>
  <dc:creator>Учебные материалы</dc:creator>
  <cp:keywords>цифровой проект; бакалавриат; дистанционное обучение; кейсы</cp:keywords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2026-09-28T15:03:00Z</dcterms:modified>
  <cp:category/>
  <dc:language>ru-RU</dc:language>
</cp:coreProperties>
</file>