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7EB3" w14:textId="77777777" w:rsidR="00B02B02" w:rsidRDefault="00000000">
      <w:pPr>
        <w:pStyle w:val="aa"/>
      </w:pPr>
      <w:r>
        <w:t>Цифровой проект: ценность, жизненный цикл и критерии успеха</w:t>
      </w:r>
    </w:p>
    <w:p w14:paraId="485CBA90" w14:textId="77777777" w:rsidR="00B02B02" w:rsidRDefault="00000000">
      <w:pPr>
        <w:pStyle w:val="1"/>
      </w:pPr>
      <w:r>
        <w:t>1. Проект, продукт и сервис: разные объекты управления</w:t>
      </w:r>
    </w:p>
    <w:p w14:paraId="286E106A" w14:textId="77777777" w:rsidR="00B02B02" w:rsidRDefault="00000000">
      <w:r>
        <w:t>PMI определяет проект через временный характер и создание уникального результата [2]. Временность означает наличие границы работы, а не обязательную краткость. Разработка первой версии сервиса, переход на новую учетную систему и исправление определенного класса уязвимостей могут быть отдельными проектами. Ежедневная обработка обращений обычно относится к текущей деятельности.</w:t>
      </w:r>
    </w:p>
    <w:p w14:paraId="21786DC7" w14:textId="77777777" w:rsidR="00B02B02" w:rsidRDefault="00000000">
      <w:r>
        <w:t>Продукт продолжает изменяться после завершения конкретного проекта. Сервис включает не только программный компонент, но и правила, людей, каналы поддержки, данные и условия доступа. Поэтому передача исходного кода не тождественна передаче работающего сервиса: получателю могут понадобиться инструкции, права доступа, обучение и бюджет эксплуатации.</w:t>
      </w:r>
    </w:p>
    <w:p w14:paraId="241838C5" w14:textId="77777777" w:rsidR="00B02B02" w:rsidRDefault="00000000">
      <w:pPr>
        <w:pStyle w:val="21"/>
      </w:pPr>
      <w:r>
        <w:t>Почему границы важны</w:t>
      </w:r>
    </w:p>
    <w:p w14:paraId="5046B05D" w14:textId="77777777" w:rsidR="00B02B02" w:rsidRDefault="00000000">
      <w:r>
        <w:t>В «Кампус Ресурсе» пользователь хочет получить свободный прибор на определенное время. Интерфейс показывает доступность, но кто-то должен подтвердить исправность оборудования и организовать выдачу. Если административный процесс отсутствует, кнопка бронирования создает обещание, которое организация не может выполнить. Руководитель проекта должен выяснить, какие изменения входят в его полномочия, а какие требуют решения владельца сервиса.</w:t>
      </w:r>
    </w:p>
    <w:tbl>
      <w:tblPr>
        <w:tblW w:w="0" w:type="auto"/>
        <w:jc w:val="center"/>
        <w:tblLayout w:type="fixed"/>
        <w:tblLook w:val="04A0" w:firstRow="1" w:lastRow="0" w:firstColumn="1" w:lastColumn="0" w:noHBand="0" w:noVBand="1"/>
      </w:tblPr>
      <w:tblGrid>
        <w:gridCol w:w="1701"/>
        <w:gridCol w:w="3402"/>
        <w:gridCol w:w="4422"/>
      </w:tblGrid>
      <w:tr w:rsidR="00B02B02" w14:paraId="0FCBCE12" w14:textId="77777777">
        <w:trPr>
          <w:cantSplit/>
          <w:tblHeader/>
          <w:jc w:val="center"/>
        </w:trPr>
        <w:tc>
          <w:tcPr>
            <w:tcW w:w="1701" w:type="dxa"/>
            <w:shd w:val="clear" w:color="auto" w:fill="19354A"/>
            <w:tcMar>
              <w:top w:w="90" w:type="dxa"/>
              <w:left w:w="105" w:type="dxa"/>
              <w:bottom w:w="90" w:type="dxa"/>
              <w:right w:w="105" w:type="dxa"/>
            </w:tcMar>
            <w:vAlign w:val="center"/>
          </w:tcPr>
          <w:p w14:paraId="42E8AE9C" w14:textId="77777777" w:rsidR="00B02B02" w:rsidRDefault="00000000">
            <w:pPr>
              <w:spacing w:before="20" w:after="40" w:line="257" w:lineRule="auto"/>
            </w:pPr>
            <w:r>
              <w:rPr>
                <w:rFonts w:ascii="Arial" w:eastAsia="Arial" w:hAnsi="Arial" w:cs="Arial"/>
                <w:b/>
                <w:color w:val="FFFFFF"/>
                <w:sz w:val="20"/>
              </w:rPr>
              <w:t>Объект</w:t>
            </w:r>
          </w:p>
        </w:tc>
        <w:tc>
          <w:tcPr>
            <w:tcW w:w="3402" w:type="dxa"/>
            <w:shd w:val="clear" w:color="auto" w:fill="19354A"/>
            <w:tcMar>
              <w:top w:w="90" w:type="dxa"/>
              <w:left w:w="105" w:type="dxa"/>
              <w:bottom w:w="90" w:type="dxa"/>
              <w:right w:w="105" w:type="dxa"/>
            </w:tcMar>
            <w:vAlign w:val="center"/>
          </w:tcPr>
          <w:p w14:paraId="737F73CE" w14:textId="77777777" w:rsidR="00B02B02" w:rsidRDefault="00000000">
            <w:pPr>
              <w:spacing w:before="20" w:after="40" w:line="257" w:lineRule="auto"/>
            </w:pPr>
            <w:r>
              <w:rPr>
                <w:rFonts w:ascii="Arial" w:eastAsia="Arial" w:hAnsi="Arial" w:cs="Arial"/>
                <w:b/>
                <w:color w:val="FFFFFF"/>
                <w:sz w:val="20"/>
              </w:rPr>
              <w:t>Пример в учебном проекте</w:t>
            </w:r>
          </w:p>
        </w:tc>
        <w:tc>
          <w:tcPr>
            <w:tcW w:w="4422" w:type="dxa"/>
            <w:shd w:val="clear" w:color="auto" w:fill="19354A"/>
            <w:tcMar>
              <w:top w:w="90" w:type="dxa"/>
              <w:left w:w="105" w:type="dxa"/>
              <w:bottom w:w="90" w:type="dxa"/>
              <w:right w:w="105" w:type="dxa"/>
            </w:tcMar>
            <w:vAlign w:val="center"/>
          </w:tcPr>
          <w:p w14:paraId="7B8A9D91" w14:textId="77777777" w:rsidR="00B02B02" w:rsidRDefault="00000000">
            <w:pPr>
              <w:spacing w:before="20" w:after="40" w:line="257" w:lineRule="auto"/>
            </w:pPr>
            <w:r>
              <w:rPr>
                <w:rFonts w:ascii="Arial" w:eastAsia="Arial" w:hAnsi="Arial" w:cs="Arial"/>
                <w:b/>
                <w:color w:val="FFFFFF"/>
                <w:sz w:val="20"/>
              </w:rPr>
              <w:t>Граница ответственности</w:t>
            </w:r>
          </w:p>
        </w:tc>
      </w:tr>
      <w:tr w:rsidR="00B02B02" w14:paraId="0EDD7AC7" w14:textId="77777777">
        <w:trPr>
          <w:cantSplit/>
          <w:jc w:val="center"/>
        </w:trPr>
        <w:tc>
          <w:tcPr>
            <w:tcW w:w="1701" w:type="dxa"/>
            <w:shd w:val="clear" w:color="auto" w:fill="F0F4F6"/>
            <w:tcMar>
              <w:top w:w="90" w:type="dxa"/>
              <w:left w:w="105" w:type="dxa"/>
              <w:bottom w:w="90" w:type="dxa"/>
              <w:right w:w="105" w:type="dxa"/>
            </w:tcMar>
            <w:vAlign w:val="center"/>
          </w:tcPr>
          <w:p w14:paraId="18AD4EE6" w14:textId="77777777" w:rsidR="00B02B02" w:rsidRDefault="00000000">
            <w:pPr>
              <w:spacing w:before="20" w:after="40" w:line="257" w:lineRule="auto"/>
            </w:pPr>
            <w:r>
              <w:rPr>
                <w:rFonts w:ascii="Arial" w:eastAsia="Arial" w:hAnsi="Arial" w:cs="Arial"/>
                <w:color w:val="19354A"/>
                <w:sz w:val="20"/>
              </w:rPr>
              <w:t>Проект</w:t>
            </w:r>
          </w:p>
        </w:tc>
        <w:tc>
          <w:tcPr>
            <w:tcW w:w="3402" w:type="dxa"/>
            <w:shd w:val="clear" w:color="auto" w:fill="F0F4F6"/>
            <w:tcMar>
              <w:top w:w="90" w:type="dxa"/>
              <w:left w:w="105" w:type="dxa"/>
              <w:bottom w:w="90" w:type="dxa"/>
              <w:right w:w="105" w:type="dxa"/>
            </w:tcMar>
            <w:vAlign w:val="center"/>
          </w:tcPr>
          <w:p w14:paraId="4BB89689" w14:textId="77777777" w:rsidR="00B02B02" w:rsidRDefault="00000000">
            <w:pPr>
              <w:spacing w:before="20" w:after="40" w:line="257" w:lineRule="auto"/>
            </w:pPr>
            <w:r>
              <w:rPr>
                <w:rFonts w:ascii="Arial" w:eastAsia="Arial" w:hAnsi="Arial" w:cs="Arial"/>
                <w:color w:val="19354A"/>
                <w:sz w:val="20"/>
              </w:rPr>
              <w:t>Подготовить и проверить первую версию</w:t>
            </w:r>
          </w:p>
        </w:tc>
        <w:tc>
          <w:tcPr>
            <w:tcW w:w="4422" w:type="dxa"/>
            <w:shd w:val="clear" w:color="auto" w:fill="F0F4F6"/>
            <w:tcMar>
              <w:top w:w="90" w:type="dxa"/>
              <w:left w:w="105" w:type="dxa"/>
              <w:bottom w:w="90" w:type="dxa"/>
              <w:right w:w="105" w:type="dxa"/>
            </w:tcMar>
            <w:vAlign w:val="center"/>
          </w:tcPr>
          <w:p w14:paraId="0373DC77" w14:textId="77777777" w:rsidR="00B02B02" w:rsidRDefault="00000000">
            <w:pPr>
              <w:spacing w:before="20" w:after="40" w:line="257" w:lineRule="auto"/>
            </w:pPr>
            <w:r>
              <w:rPr>
                <w:rFonts w:ascii="Arial" w:eastAsia="Arial" w:hAnsi="Arial" w:cs="Arial"/>
                <w:color w:val="19354A"/>
                <w:sz w:val="20"/>
              </w:rPr>
              <w:t>Завершение согласованного объема</w:t>
            </w:r>
          </w:p>
        </w:tc>
      </w:tr>
      <w:tr w:rsidR="00B02B02" w14:paraId="5F198E5B" w14:textId="77777777">
        <w:trPr>
          <w:cantSplit/>
          <w:jc w:val="center"/>
        </w:trPr>
        <w:tc>
          <w:tcPr>
            <w:tcW w:w="1701" w:type="dxa"/>
            <w:tcMar>
              <w:top w:w="90" w:type="dxa"/>
              <w:left w:w="105" w:type="dxa"/>
              <w:bottom w:w="90" w:type="dxa"/>
              <w:right w:w="105" w:type="dxa"/>
            </w:tcMar>
            <w:vAlign w:val="center"/>
          </w:tcPr>
          <w:p w14:paraId="61BBEAF3" w14:textId="77777777" w:rsidR="00B02B02" w:rsidRDefault="00000000">
            <w:pPr>
              <w:spacing w:before="20" w:after="40" w:line="257" w:lineRule="auto"/>
            </w:pPr>
            <w:r>
              <w:rPr>
                <w:rFonts w:ascii="Arial" w:eastAsia="Arial" w:hAnsi="Arial" w:cs="Arial"/>
                <w:color w:val="19354A"/>
                <w:sz w:val="20"/>
              </w:rPr>
              <w:t>Продукт</w:t>
            </w:r>
          </w:p>
        </w:tc>
        <w:tc>
          <w:tcPr>
            <w:tcW w:w="3402" w:type="dxa"/>
            <w:tcMar>
              <w:top w:w="90" w:type="dxa"/>
              <w:left w:w="105" w:type="dxa"/>
              <w:bottom w:w="90" w:type="dxa"/>
              <w:right w:w="105" w:type="dxa"/>
            </w:tcMar>
            <w:vAlign w:val="center"/>
          </w:tcPr>
          <w:p w14:paraId="01315123" w14:textId="77777777" w:rsidR="00B02B02" w:rsidRDefault="00000000">
            <w:pPr>
              <w:spacing w:before="20" w:after="40" w:line="257" w:lineRule="auto"/>
            </w:pPr>
            <w:r>
              <w:rPr>
                <w:rFonts w:ascii="Arial" w:eastAsia="Arial" w:hAnsi="Arial" w:cs="Arial"/>
                <w:color w:val="19354A"/>
                <w:sz w:val="20"/>
              </w:rPr>
              <w:t>Развивать систему бронирования</w:t>
            </w:r>
          </w:p>
        </w:tc>
        <w:tc>
          <w:tcPr>
            <w:tcW w:w="4422" w:type="dxa"/>
            <w:tcMar>
              <w:top w:w="90" w:type="dxa"/>
              <w:left w:w="105" w:type="dxa"/>
              <w:bottom w:w="90" w:type="dxa"/>
              <w:right w:w="105" w:type="dxa"/>
            </w:tcMar>
            <w:vAlign w:val="center"/>
          </w:tcPr>
          <w:p w14:paraId="5C024B8F" w14:textId="77777777" w:rsidR="00B02B02" w:rsidRDefault="00000000">
            <w:pPr>
              <w:spacing w:before="20" w:after="40" w:line="257" w:lineRule="auto"/>
            </w:pPr>
            <w:r>
              <w:rPr>
                <w:rFonts w:ascii="Arial" w:eastAsia="Arial" w:hAnsi="Arial" w:cs="Arial"/>
                <w:color w:val="19354A"/>
                <w:sz w:val="20"/>
              </w:rPr>
              <w:t>Последовательность будущих изменений</w:t>
            </w:r>
          </w:p>
        </w:tc>
      </w:tr>
      <w:tr w:rsidR="00B02B02" w14:paraId="4DBA66C6" w14:textId="77777777">
        <w:trPr>
          <w:cantSplit/>
          <w:jc w:val="center"/>
        </w:trPr>
        <w:tc>
          <w:tcPr>
            <w:tcW w:w="1701" w:type="dxa"/>
            <w:shd w:val="clear" w:color="auto" w:fill="F0F4F6"/>
            <w:tcMar>
              <w:top w:w="90" w:type="dxa"/>
              <w:left w:w="105" w:type="dxa"/>
              <w:bottom w:w="90" w:type="dxa"/>
              <w:right w:w="105" w:type="dxa"/>
            </w:tcMar>
            <w:vAlign w:val="center"/>
          </w:tcPr>
          <w:p w14:paraId="72772374" w14:textId="77777777" w:rsidR="00B02B02" w:rsidRDefault="00000000">
            <w:pPr>
              <w:spacing w:before="20" w:after="40" w:line="257" w:lineRule="auto"/>
            </w:pPr>
            <w:r>
              <w:rPr>
                <w:rFonts w:ascii="Arial" w:eastAsia="Arial" w:hAnsi="Arial" w:cs="Arial"/>
                <w:color w:val="19354A"/>
                <w:sz w:val="20"/>
              </w:rPr>
              <w:t>Сервис</w:t>
            </w:r>
          </w:p>
        </w:tc>
        <w:tc>
          <w:tcPr>
            <w:tcW w:w="3402" w:type="dxa"/>
            <w:shd w:val="clear" w:color="auto" w:fill="F0F4F6"/>
            <w:tcMar>
              <w:top w:w="90" w:type="dxa"/>
              <w:left w:w="105" w:type="dxa"/>
              <w:bottom w:w="90" w:type="dxa"/>
              <w:right w:w="105" w:type="dxa"/>
            </w:tcMar>
            <w:vAlign w:val="center"/>
          </w:tcPr>
          <w:p w14:paraId="5F9816A5" w14:textId="77777777" w:rsidR="00B02B02" w:rsidRDefault="00000000">
            <w:pPr>
              <w:spacing w:before="20" w:after="40" w:line="257" w:lineRule="auto"/>
            </w:pPr>
            <w:r>
              <w:rPr>
                <w:rFonts w:ascii="Arial" w:eastAsia="Arial" w:hAnsi="Arial" w:cs="Arial"/>
                <w:color w:val="19354A"/>
                <w:sz w:val="20"/>
              </w:rPr>
              <w:t>Обеспечивать бронирование и выдачу</w:t>
            </w:r>
          </w:p>
        </w:tc>
        <w:tc>
          <w:tcPr>
            <w:tcW w:w="4422" w:type="dxa"/>
            <w:shd w:val="clear" w:color="auto" w:fill="F0F4F6"/>
            <w:tcMar>
              <w:top w:w="90" w:type="dxa"/>
              <w:left w:w="105" w:type="dxa"/>
              <w:bottom w:w="90" w:type="dxa"/>
              <w:right w:w="105" w:type="dxa"/>
            </w:tcMar>
            <w:vAlign w:val="center"/>
          </w:tcPr>
          <w:p w14:paraId="68A99B5E" w14:textId="77777777" w:rsidR="00B02B02" w:rsidRDefault="00000000">
            <w:pPr>
              <w:spacing w:before="20" w:after="40" w:line="257" w:lineRule="auto"/>
            </w:pPr>
            <w:r>
              <w:rPr>
                <w:rFonts w:ascii="Arial" w:eastAsia="Arial" w:hAnsi="Arial" w:cs="Arial"/>
                <w:color w:val="19354A"/>
                <w:sz w:val="20"/>
              </w:rPr>
              <w:t>Результат для пользователя</w:t>
            </w:r>
          </w:p>
        </w:tc>
      </w:tr>
      <w:tr w:rsidR="00B02B02" w14:paraId="5A78562D" w14:textId="77777777">
        <w:trPr>
          <w:cantSplit/>
          <w:jc w:val="center"/>
        </w:trPr>
        <w:tc>
          <w:tcPr>
            <w:tcW w:w="1701" w:type="dxa"/>
            <w:tcMar>
              <w:top w:w="90" w:type="dxa"/>
              <w:left w:w="105" w:type="dxa"/>
              <w:bottom w:w="90" w:type="dxa"/>
              <w:right w:w="105" w:type="dxa"/>
            </w:tcMar>
            <w:vAlign w:val="center"/>
          </w:tcPr>
          <w:p w14:paraId="03059CEA" w14:textId="77777777" w:rsidR="00B02B02" w:rsidRDefault="00000000">
            <w:pPr>
              <w:spacing w:before="20" w:after="40" w:line="257" w:lineRule="auto"/>
            </w:pPr>
            <w:r>
              <w:rPr>
                <w:rFonts w:ascii="Arial" w:eastAsia="Arial" w:hAnsi="Arial" w:cs="Arial"/>
                <w:color w:val="19354A"/>
                <w:sz w:val="20"/>
              </w:rPr>
              <w:t>Операции</w:t>
            </w:r>
          </w:p>
        </w:tc>
        <w:tc>
          <w:tcPr>
            <w:tcW w:w="3402" w:type="dxa"/>
            <w:tcMar>
              <w:top w:w="90" w:type="dxa"/>
              <w:left w:w="105" w:type="dxa"/>
              <w:bottom w:w="90" w:type="dxa"/>
              <w:right w:w="105" w:type="dxa"/>
            </w:tcMar>
            <w:vAlign w:val="center"/>
          </w:tcPr>
          <w:p w14:paraId="09616E77" w14:textId="77777777" w:rsidR="00B02B02" w:rsidRDefault="00000000">
            <w:pPr>
              <w:spacing w:before="20" w:after="40" w:line="257" w:lineRule="auto"/>
            </w:pPr>
            <w:r>
              <w:rPr>
                <w:rFonts w:ascii="Arial" w:eastAsia="Arial" w:hAnsi="Arial" w:cs="Arial"/>
                <w:color w:val="19354A"/>
                <w:sz w:val="20"/>
              </w:rPr>
              <w:t>Ежедневно отвечать на обращения</w:t>
            </w:r>
          </w:p>
        </w:tc>
        <w:tc>
          <w:tcPr>
            <w:tcW w:w="4422" w:type="dxa"/>
            <w:tcMar>
              <w:top w:w="90" w:type="dxa"/>
              <w:left w:w="105" w:type="dxa"/>
              <w:bottom w:w="90" w:type="dxa"/>
              <w:right w:w="105" w:type="dxa"/>
            </w:tcMar>
            <w:vAlign w:val="center"/>
          </w:tcPr>
          <w:p w14:paraId="79D77A36" w14:textId="77777777" w:rsidR="00B02B02" w:rsidRDefault="00000000">
            <w:pPr>
              <w:spacing w:before="20" w:after="40" w:line="257" w:lineRule="auto"/>
            </w:pPr>
            <w:r>
              <w:rPr>
                <w:rFonts w:ascii="Arial" w:eastAsia="Arial" w:hAnsi="Arial" w:cs="Arial"/>
                <w:color w:val="19354A"/>
                <w:sz w:val="20"/>
              </w:rPr>
              <w:t>Стабильность повторяемого процесса</w:t>
            </w:r>
          </w:p>
        </w:tc>
      </w:tr>
    </w:tbl>
    <w:p w14:paraId="558EF4E8" w14:textId="77777777" w:rsidR="00B02B02" w:rsidRDefault="00B02B02">
      <w:pPr>
        <w:spacing w:after="20" w:line="36" w:lineRule="auto"/>
      </w:pPr>
    </w:p>
    <w:p w14:paraId="68564C15" w14:textId="77777777" w:rsidR="00B02B02" w:rsidRDefault="00000000">
      <w:r>
        <w:t>Один человек может совмещать роли, но функции лучше называть отдельно. Иначе в момент запуска обнаруживается, что разработчик считает работу завершенной, а подразделение не приняло обслуживание. В учебном паспорте достаточно обозначить спонсора, руководителя проекта, представителя пользователей и будущего владельца сервиса.</w:t>
      </w:r>
    </w:p>
    <w:p w14:paraId="51B1BFBC" w14:textId="77777777" w:rsidR="00B02B02" w:rsidRDefault="00000000">
      <w:r>
        <w:br w:type="page"/>
      </w:r>
    </w:p>
    <w:p w14:paraId="2B155DAC" w14:textId="77777777" w:rsidR="00B02B02" w:rsidRDefault="00000000">
      <w:pPr>
        <w:pStyle w:val="1"/>
      </w:pPr>
      <w:r>
        <w:lastRenderedPageBreak/>
        <w:t>2. Жизненный цикл как последовательность решений</w:t>
      </w:r>
    </w:p>
    <w:p w14:paraId="6DB7692C" w14:textId="77777777" w:rsidR="00B02B02" w:rsidRDefault="00000000">
      <w:r>
        <w:t>Для курса используется рабочая последовательность: исследовать проблему, обосновать инициативу, спроектировать решение, реализовать и проверить, запустить, передать и оценить пользу. Это учебная схема, а не единственный обязательный стандарт. Между этапами возможны возвраты. Новый факт о доступности данных способен изменить первоначальный замысел еще до разработки.</w:t>
      </w:r>
    </w:p>
    <w:p w14:paraId="304AA716" w14:textId="77777777" w:rsidR="00B02B02" w:rsidRDefault="00000000">
      <w:r>
        <w:t>В руководстве GOV.UK discovery рассматривается как исследование проблемы до обязательства строить решение [3]. Для небольшого проекта это означает право завершить исследование выводом «разработка пока не нужна». Например, конфликт бронирований может происходить из-за двух несогласованных журналов, а не из-за отсутствия мобильного приложения.</w:t>
      </w:r>
    </w:p>
    <w:tbl>
      <w:tblPr>
        <w:tblW w:w="0" w:type="auto"/>
        <w:jc w:val="center"/>
        <w:tblLayout w:type="fixed"/>
        <w:tblLook w:val="04A0" w:firstRow="1" w:lastRow="0" w:firstColumn="1" w:lastColumn="0" w:noHBand="0" w:noVBand="1"/>
      </w:tblPr>
      <w:tblGrid>
        <w:gridCol w:w="2268"/>
        <w:gridCol w:w="3402"/>
        <w:gridCol w:w="3855"/>
      </w:tblGrid>
      <w:tr w:rsidR="00B02B02" w14:paraId="3A1EE51B" w14:textId="77777777">
        <w:trPr>
          <w:cantSplit/>
          <w:tblHeader/>
          <w:jc w:val="center"/>
        </w:trPr>
        <w:tc>
          <w:tcPr>
            <w:tcW w:w="2268" w:type="dxa"/>
            <w:shd w:val="clear" w:color="auto" w:fill="19354A"/>
            <w:tcMar>
              <w:top w:w="90" w:type="dxa"/>
              <w:left w:w="105" w:type="dxa"/>
              <w:bottom w:w="90" w:type="dxa"/>
              <w:right w:w="105" w:type="dxa"/>
            </w:tcMar>
            <w:vAlign w:val="center"/>
          </w:tcPr>
          <w:p w14:paraId="3AF8B243" w14:textId="77777777" w:rsidR="00B02B02" w:rsidRDefault="00000000">
            <w:pPr>
              <w:spacing w:before="20" w:after="40" w:line="257" w:lineRule="auto"/>
            </w:pPr>
            <w:r>
              <w:rPr>
                <w:rFonts w:ascii="Arial" w:eastAsia="Arial" w:hAnsi="Arial" w:cs="Arial"/>
                <w:b/>
                <w:color w:val="FFFFFF"/>
                <w:sz w:val="20"/>
              </w:rPr>
              <w:t>Контрольная точка</w:t>
            </w:r>
          </w:p>
        </w:tc>
        <w:tc>
          <w:tcPr>
            <w:tcW w:w="3402" w:type="dxa"/>
            <w:shd w:val="clear" w:color="auto" w:fill="19354A"/>
            <w:tcMar>
              <w:top w:w="90" w:type="dxa"/>
              <w:left w:w="105" w:type="dxa"/>
              <w:bottom w:w="90" w:type="dxa"/>
              <w:right w:w="105" w:type="dxa"/>
            </w:tcMar>
            <w:vAlign w:val="center"/>
          </w:tcPr>
          <w:p w14:paraId="71DB81D0" w14:textId="77777777" w:rsidR="00B02B02" w:rsidRDefault="00000000">
            <w:pPr>
              <w:spacing w:before="20" w:after="40" w:line="257" w:lineRule="auto"/>
            </w:pPr>
            <w:r>
              <w:rPr>
                <w:rFonts w:ascii="Arial" w:eastAsia="Arial" w:hAnsi="Arial" w:cs="Arial"/>
                <w:b/>
                <w:color w:val="FFFFFF"/>
                <w:sz w:val="20"/>
              </w:rPr>
              <w:t>Вопрос перед продолжением</w:t>
            </w:r>
          </w:p>
        </w:tc>
        <w:tc>
          <w:tcPr>
            <w:tcW w:w="3855" w:type="dxa"/>
            <w:shd w:val="clear" w:color="auto" w:fill="19354A"/>
            <w:tcMar>
              <w:top w:w="90" w:type="dxa"/>
              <w:left w:w="105" w:type="dxa"/>
              <w:bottom w:w="90" w:type="dxa"/>
              <w:right w:w="105" w:type="dxa"/>
            </w:tcMar>
            <w:vAlign w:val="center"/>
          </w:tcPr>
          <w:p w14:paraId="0D1001BA" w14:textId="77777777" w:rsidR="00B02B02" w:rsidRDefault="00000000">
            <w:pPr>
              <w:spacing w:before="20" w:after="40" w:line="257" w:lineRule="auto"/>
            </w:pPr>
            <w:r>
              <w:rPr>
                <w:rFonts w:ascii="Arial" w:eastAsia="Arial" w:hAnsi="Arial" w:cs="Arial"/>
                <w:b/>
                <w:color w:val="FFFFFF"/>
                <w:sz w:val="20"/>
              </w:rPr>
              <w:t>Подтверждение</w:t>
            </w:r>
          </w:p>
        </w:tc>
      </w:tr>
      <w:tr w:rsidR="00B02B02" w14:paraId="65F0489F" w14:textId="77777777">
        <w:trPr>
          <w:cantSplit/>
          <w:jc w:val="center"/>
        </w:trPr>
        <w:tc>
          <w:tcPr>
            <w:tcW w:w="2268" w:type="dxa"/>
            <w:shd w:val="clear" w:color="auto" w:fill="F0F4F6"/>
            <w:tcMar>
              <w:top w:w="90" w:type="dxa"/>
              <w:left w:w="105" w:type="dxa"/>
              <w:bottom w:w="90" w:type="dxa"/>
              <w:right w:w="105" w:type="dxa"/>
            </w:tcMar>
            <w:vAlign w:val="center"/>
          </w:tcPr>
          <w:p w14:paraId="4E4820EA" w14:textId="77777777" w:rsidR="00B02B02" w:rsidRDefault="00000000">
            <w:pPr>
              <w:spacing w:before="20" w:after="40" w:line="257" w:lineRule="auto"/>
            </w:pPr>
            <w:r>
              <w:rPr>
                <w:rFonts w:ascii="Arial" w:eastAsia="Arial" w:hAnsi="Arial" w:cs="Arial"/>
                <w:color w:val="19354A"/>
                <w:sz w:val="20"/>
              </w:rPr>
              <w:t>После исследования</w:t>
            </w:r>
          </w:p>
        </w:tc>
        <w:tc>
          <w:tcPr>
            <w:tcW w:w="3402" w:type="dxa"/>
            <w:shd w:val="clear" w:color="auto" w:fill="F0F4F6"/>
            <w:tcMar>
              <w:top w:w="90" w:type="dxa"/>
              <w:left w:w="105" w:type="dxa"/>
              <w:bottom w:w="90" w:type="dxa"/>
              <w:right w:w="105" w:type="dxa"/>
            </w:tcMar>
            <w:vAlign w:val="center"/>
          </w:tcPr>
          <w:p w14:paraId="40237E42" w14:textId="77777777" w:rsidR="00B02B02" w:rsidRDefault="00000000">
            <w:pPr>
              <w:spacing w:before="20" w:after="40" w:line="257" w:lineRule="auto"/>
            </w:pPr>
            <w:r>
              <w:rPr>
                <w:rFonts w:ascii="Arial" w:eastAsia="Arial" w:hAnsi="Arial" w:cs="Arial"/>
                <w:color w:val="19354A"/>
                <w:sz w:val="20"/>
              </w:rPr>
              <w:t>Есть ли существенная проблема?</w:t>
            </w:r>
          </w:p>
        </w:tc>
        <w:tc>
          <w:tcPr>
            <w:tcW w:w="3855" w:type="dxa"/>
            <w:shd w:val="clear" w:color="auto" w:fill="F0F4F6"/>
            <w:tcMar>
              <w:top w:w="90" w:type="dxa"/>
              <w:left w:w="105" w:type="dxa"/>
              <w:bottom w:w="90" w:type="dxa"/>
              <w:right w:w="105" w:type="dxa"/>
            </w:tcMar>
            <w:vAlign w:val="center"/>
          </w:tcPr>
          <w:p w14:paraId="2CAF8E3B" w14:textId="77777777" w:rsidR="00B02B02" w:rsidRDefault="00000000">
            <w:pPr>
              <w:spacing w:before="20" w:after="40" w:line="257" w:lineRule="auto"/>
            </w:pPr>
            <w:r>
              <w:rPr>
                <w:rFonts w:ascii="Arial" w:eastAsia="Arial" w:hAnsi="Arial" w:cs="Arial"/>
                <w:color w:val="19354A"/>
                <w:sz w:val="20"/>
              </w:rPr>
              <w:t>Наблюдения и ограничения данных</w:t>
            </w:r>
          </w:p>
        </w:tc>
      </w:tr>
      <w:tr w:rsidR="00B02B02" w14:paraId="193ACD7E" w14:textId="77777777">
        <w:trPr>
          <w:cantSplit/>
          <w:jc w:val="center"/>
        </w:trPr>
        <w:tc>
          <w:tcPr>
            <w:tcW w:w="2268" w:type="dxa"/>
            <w:tcMar>
              <w:top w:w="90" w:type="dxa"/>
              <w:left w:w="105" w:type="dxa"/>
              <w:bottom w:w="90" w:type="dxa"/>
              <w:right w:w="105" w:type="dxa"/>
            </w:tcMar>
            <w:vAlign w:val="center"/>
          </w:tcPr>
          <w:p w14:paraId="4E1ED7C6" w14:textId="77777777" w:rsidR="00B02B02" w:rsidRDefault="00000000">
            <w:pPr>
              <w:spacing w:before="20" w:after="40" w:line="257" w:lineRule="auto"/>
            </w:pPr>
            <w:r>
              <w:rPr>
                <w:rFonts w:ascii="Arial" w:eastAsia="Arial" w:hAnsi="Arial" w:cs="Arial"/>
                <w:color w:val="19354A"/>
                <w:sz w:val="20"/>
              </w:rPr>
              <w:t>Перед реализацией</w:t>
            </w:r>
          </w:p>
        </w:tc>
        <w:tc>
          <w:tcPr>
            <w:tcW w:w="3402" w:type="dxa"/>
            <w:tcMar>
              <w:top w:w="90" w:type="dxa"/>
              <w:left w:w="105" w:type="dxa"/>
              <w:bottom w:w="90" w:type="dxa"/>
              <w:right w:w="105" w:type="dxa"/>
            </w:tcMar>
            <w:vAlign w:val="center"/>
          </w:tcPr>
          <w:p w14:paraId="1048A2DF" w14:textId="77777777" w:rsidR="00B02B02" w:rsidRDefault="00000000">
            <w:pPr>
              <w:spacing w:before="20" w:after="40" w:line="257" w:lineRule="auto"/>
            </w:pPr>
            <w:r>
              <w:rPr>
                <w:rFonts w:ascii="Arial" w:eastAsia="Arial" w:hAnsi="Arial" w:cs="Arial"/>
                <w:color w:val="19354A"/>
                <w:sz w:val="20"/>
              </w:rPr>
              <w:t>Понятны ли объем и риски?</w:t>
            </w:r>
          </w:p>
        </w:tc>
        <w:tc>
          <w:tcPr>
            <w:tcW w:w="3855" w:type="dxa"/>
            <w:tcMar>
              <w:top w:w="90" w:type="dxa"/>
              <w:left w:w="105" w:type="dxa"/>
              <w:bottom w:w="90" w:type="dxa"/>
              <w:right w:w="105" w:type="dxa"/>
            </w:tcMar>
            <w:vAlign w:val="center"/>
          </w:tcPr>
          <w:p w14:paraId="4D9CF39E" w14:textId="77777777" w:rsidR="00B02B02" w:rsidRDefault="00000000">
            <w:pPr>
              <w:spacing w:before="20" w:after="40" w:line="257" w:lineRule="auto"/>
            </w:pPr>
            <w:r>
              <w:rPr>
                <w:rFonts w:ascii="Arial" w:eastAsia="Arial" w:hAnsi="Arial" w:cs="Arial"/>
                <w:color w:val="19354A"/>
                <w:sz w:val="20"/>
              </w:rPr>
              <w:t>Паспорт, прототип, оценки</w:t>
            </w:r>
          </w:p>
        </w:tc>
      </w:tr>
      <w:tr w:rsidR="00B02B02" w14:paraId="3E2BAFAE" w14:textId="77777777">
        <w:trPr>
          <w:cantSplit/>
          <w:jc w:val="center"/>
        </w:trPr>
        <w:tc>
          <w:tcPr>
            <w:tcW w:w="2268" w:type="dxa"/>
            <w:shd w:val="clear" w:color="auto" w:fill="F0F4F6"/>
            <w:tcMar>
              <w:top w:w="90" w:type="dxa"/>
              <w:left w:w="105" w:type="dxa"/>
              <w:bottom w:w="90" w:type="dxa"/>
              <w:right w:w="105" w:type="dxa"/>
            </w:tcMar>
            <w:vAlign w:val="center"/>
          </w:tcPr>
          <w:p w14:paraId="7FEA0D1F" w14:textId="77777777" w:rsidR="00B02B02" w:rsidRDefault="00000000">
            <w:pPr>
              <w:spacing w:before="20" w:after="40" w:line="257" w:lineRule="auto"/>
            </w:pPr>
            <w:r>
              <w:rPr>
                <w:rFonts w:ascii="Arial" w:eastAsia="Arial" w:hAnsi="Arial" w:cs="Arial"/>
                <w:color w:val="19354A"/>
                <w:sz w:val="20"/>
              </w:rPr>
              <w:t>Перед запуском</w:t>
            </w:r>
          </w:p>
        </w:tc>
        <w:tc>
          <w:tcPr>
            <w:tcW w:w="3402" w:type="dxa"/>
            <w:shd w:val="clear" w:color="auto" w:fill="F0F4F6"/>
            <w:tcMar>
              <w:top w:w="90" w:type="dxa"/>
              <w:left w:w="105" w:type="dxa"/>
              <w:bottom w:w="90" w:type="dxa"/>
              <w:right w:w="105" w:type="dxa"/>
            </w:tcMar>
            <w:vAlign w:val="center"/>
          </w:tcPr>
          <w:p w14:paraId="510660DC" w14:textId="77777777" w:rsidR="00B02B02" w:rsidRDefault="00000000">
            <w:pPr>
              <w:spacing w:before="20" w:after="40" w:line="257" w:lineRule="auto"/>
            </w:pPr>
            <w:r>
              <w:rPr>
                <w:rFonts w:ascii="Arial" w:eastAsia="Arial" w:hAnsi="Arial" w:cs="Arial"/>
                <w:color w:val="19354A"/>
                <w:sz w:val="20"/>
              </w:rPr>
              <w:t>Готовы ли продукт и обслуживание?</w:t>
            </w:r>
          </w:p>
        </w:tc>
        <w:tc>
          <w:tcPr>
            <w:tcW w:w="3855" w:type="dxa"/>
            <w:shd w:val="clear" w:color="auto" w:fill="F0F4F6"/>
            <w:tcMar>
              <w:top w:w="90" w:type="dxa"/>
              <w:left w:w="105" w:type="dxa"/>
              <w:bottom w:w="90" w:type="dxa"/>
              <w:right w:w="105" w:type="dxa"/>
            </w:tcMar>
            <w:vAlign w:val="center"/>
          </w:tcPr>
          <w:p w14:paraId="7CBEC8D6" w14:textId="77777777" w:rsidR="00B02B02" w:rsidRDefault="00000000">
            <w:pPr>
              <w:spacing w:before="20" w:after="40" w:line="257" w:lineRule="auto"/>
            </w:pPr>
            <w:r>
              <w:rPr>
                <w:rFonts w:ascii="Arial" w:eastAsia="Arial" w:hAnsi="Arial" w:cs="Arial"/>
                <w:color w:val="19354A"/>
                <w:sz w:val="20"/>
              </w:rPr>
              <w:t>Проверки, инструкции, ответственные</w:t>
            </w:r>
          </w:p>
        </w:tc>
      </w:tr>
      <w:tr w:rsidR="00B02B02" w14:paraId="5B9CDA1F" w14:textId="77777777">
        <w:trPr>
          <w:cantSplit/>
          <w:jc w:val="center"/>
        </w:trPr>
        <w:tc>
          <w:tcPr>
            <w:tcW w:w="2268" w:type="dxa"/>
            <w:tcMar>
              <w:top w:w="90" w:type="dxa"/>
              <w:left w:w="105" w:type="dxa"/>
              <w:bottom w:w="90" w:type="dxa"/>
              <w:right w:w="105" w:type="dxa"/>
            </w:tcMar>
            <w:vAlign w:val="center"/>
          </w:tcPr>
          <w:p w14:paraId="2CFF7C74" w14:textId="77777777" w:rsidR="00B02B02" w:rsidRDefault="00000000">
            <w:pPr>
              <w:spacing w:before="20" w:after="40" w:line="257" w:lineRule="auto"/>
            </w:pPr>
            <w:r>
              <w:rPr>
                <w:rFonts w:ascii="Arial" w:eastAsia="Arial" w:hAnsi="Arial" w:cs="Arial"/>
                <w:color w:val="19354A"/>
                <w:sz w:val="20"/>
              </w:rPr>
              <w:t>После пилота</w:t>
            </w:r>
          </w:p>
        </w:tc>
        <w:tc>
          <w:tcPr>
            <w:tcW w:w="3402" w:type="dxa"/>
            <w:tcMar>
              <w:top w:w="90" w:type="dxa"/>
              <w:left w:w="105" w:type="dxa"/>
              <w:bottom w:w="90" w:type="dxa"/>
              <w:right w:w="105" w:type="dxa"/>
            </w:tcMar>
            <w:vAlign w:val="center"/>
          </w:tcPr>
          <w:p w14:paraId="60564A9A" w14:textId="77777777" w:rsidR="00B02B02" w:rsidRDefault="00000000">
            <w:pPr>
              <w:spacing w:before="20" w:after="40" w:line="257" w:lineRule="auto"/>
            </w:pPr>
            <w:r>
              <w:rPr>
                <w:rFonts w:ascii="Arial" w:eastAsia="Arial" w:hAnsi="Arial" w:cs="Arial"/>
                <w:color w:val="19354A"/>
                <w:sz w:val="20"/>
              </w:rPr>
              <w:t>Получена ли ожидаемая польза?</w:t>
            </w:r>
          </w:p>
        </w:tc>
        <w:tc>
          <w:tcPr>
            <w:tcW w:w="3855" w:type="dxa"/>
            <w:tcMar>
              <w:top w:w="90" w:type="dxa"/>
              <w:left w:w="105" w:type="dxa"/>
              <w:bottom w:w="90" w:type="dxa"/>
              <w:right w:w="105" w:type="dxa"/>
            </w:tcMar>
            <w:vAlign w:val="center"/>
          </w:tcPr>
          <w:p w14:paraId="6978D554" w14:textId="77777777" w:rsidR="00B02B02" w:rsidRDefault="00000000">
            <w:pPr>
              <w:spacing w:before="20" w:after="40" w:line="257" w:lineRule="auto"/>
            </w:pPr>
            <w:r>
              <w:rPr>
                <w:rFonts w:ascii="Arial" w:eastAsia="Arial" w:hAnsi="Arial" w:cs="Arial"/>
                <w:color w:val="19354A"/>
                <w:sz w:val="20"/>
              </w:rPr>
              <w:t>Сопоставимые данные и обратная связь</w:t>
            </w:r>
          </w:p>
        </w:tc>
      </w:tr>
    </w:tbl>
    <w:p w14:paraId="2B68B29A" w14:textId="77777777" w:rsidR="00B02B02" w:rsidRDefault="00B02B02">
      <w:pPr>
        <w:spacing w:after="20" w:line="36" w:lineRule="auto"/>
      </w:pPr>
    </w:p>
    <w:p w14:paraId="6A988187" w14:textId="77777777" w:rsidR="00B02B02" w:rsidRDefault="00000000">
      <w:pPr>
        <w:pStyle w:val="21"/>
      </w:pPr>
      <w:r>
        <w:t>Не путать документ с принятым решением</w:t>
      </w:r>
    </w:p>
    <w:p w14:paraId="77AE1219" w14:textId="77777777" w:rsidR="00B02B02" w:rsidRDefault="00000000">
      <w:r>
        <w:t>Утвержденная презентация не доказывает наличие спроса. График не гарантирует доступность команды. Протокол приемки не подтверждает, что пользователи способны выполнить задачу без помощи. Каждый документ полезен настолько, насколько делает понятными основания, ответственность и условия следующего шага.</w:t>
      </w:r>
    </w:p>
    <w:p w14:paraId="6BF94529" w14:textId="77777777" w:rsidR="00B02B02" w:rsidRDefault="00000000">
      <w:r>
        <w:t>На практике стоит заранее определить три варианта решения на контрольной точке: продолжить, переработать или остановить. Для каждого нужны основания. Без возможности остановки этап превращается в формальность: команда собирает подтверждения заранее выбранного ответа. В учебной работе оценивается логика переходов, а не количество красивых схем.</w:t>
      </w:r>
    </w:p>
    <w:p w14:paraId="54DF2E4E" w14:textId="77777777" w:rsidR="00B02B02" w:rsidRDefault="00000000">
      <w:r>
        <w:br w:type="page"/>
      </w:r>
    </w:p>
    <w:p w14:paraId="11003C48" w14:textId="77777777" w:rsidR="00B02B02" w:rsidRDefault="00000000">
      <w:pPr>
        <w:pStyle w:val="1"/>
      </w:pPr>
      <w:r>
        <w:lastRenderedPageBreak/>
        <w:t>3. Реальный кейс: запуск GOV.UK</w:t>
      </w:r>
    </w:p>
    <w:p w14:paraId="511556BE" w14:textId="77777777" w:rsidR="00B02B02" w:rsidRDefault="00000000">
      <w:r>
        <w:t>Досье источника. 17 октября 2012 года Government Digital Service сообщил о выходе GOV.UK из публичной бета-версии и замене сервисов Directgov и Business Link. Публикация связывала запуск с ориентацией на пользовательские задачи и переработкой содержания. Команда также сообщила о 28 500 сопоставлениях старых страниц с новыми материалами или архивом [1]. Это описание конкретного запуска, а не текущего состояния всей платформы.</w:t>
      </w:r>
    </w:p>
    <w:p w14:paraId="3AADA6E4" w14:textId="77777777" w:rsidR="00B02B02" w:rsidRDefault="00000000">
      <w:r>
        <w:t>Источник создан участником проекта и не раскрывает здесь полный бюджет, все причины решений или независимую оценку результата. Поэтому нельзя приписывать инициативе экономию определенной суммы либо утверждать, что одно изменение интерфейса вызвало все последующие улучшения. Для учебной задачи достаточно подтвержденной связи запуска, содержания и переноса адресов.</w:t>
      </w:r>
    </w:p>
    <w:p w14:paraId="32E859F0" w14:textId="77777777" w:rsidR="00B02B02" w:rsidRDefault="00000000">
      <w:pPr>
        <w:pStyle w:val="21"/>
      </w:pPr>
      <w:r>
        <w:t>Разбор управленческой ситуации</w:t>
      </w:r>
    </w:p>
    <w:p w14:paraId="16CF0F40" w14:textId="77777777" w:rsidR="00B02B02" w:rsidRDefault="00000000">
      <w:r>
        <w:t>Если бы команда считала результатом только новый дизайн, она могла бы исключить из плана судьбу старых ссылок. Однако пользователь приходит не обязательно на главную страницу: сохраненный адрес, письмо и поисковый результат также являются входами в сервис. Этот вывод — наш анализ задачи перехода, а не реконструкция внутреннего протокола GDS.</w:t>
      </w:r>
    </w:p>
    <w:tbl>
      <w:tblPr>
        <w:tblW w:w="0" w:type="auto"/>
        <w:jc w:val="center"/>
        <w:tblLayout w:type="fixed"/>
        <w:tblLook w:val="04A0" w:firstRow="1" w:lastRow="0" w:firstColumn="1" w:lastColumn="0" w:noHBand="0" w:noVBand="1"/>
      </w:tblPr>
      <w:tblGrid>
        <w:gridCol w:w="3175"/>
        <w:gridCol w:w="6350"/>
      </w:tblGrid>
      <w:tr w:rsidR="00B02B02" w14:paraId="5F143418" w14:textId="77777777">
        <w:trPr>
          <w:cantSplit/>
          <w:tblHeader/>
          <w:jc w:val="center"/>
        </w:trPr>
        <w:tc>
          <w:tcPr>
            <w:tcW w:w="3175" w:type="dxa"/>
            <w:shd w:val="clear" w:color="auto" w:fill="19354A"/>
            <w:tcMar>
              <w:top w:w="90" w:type="dxa"/>
              <w:left w:w="105" w:type="dxa"/>
              <w:bottom w:w="90" w:type="dxa"/>
              <w:right w:w="105" w:type="dxa"/>
            </w:tcMar>
            <w:vAlign w:val="center"/>
          </w:tcPr>
          <w:p w14:paraId="2088D388" w14:textId="77777777" w:rsidR="00B02B02" w:rsidRDefault="00000000">
            <w:pPr>
              <w:spacing w:before="20" w:after="40" w:line="257" w:lineRule="auto"/>
            </w:pPr>
            <w:r>
              <w:rPr>
                <w:rFonts w:ascii="Arial" w:eastAsia="Arial" w:hAnsi="Arial" w:cs="Arial"/>
                <w:b/>
                <w:color w:val="FFFFFF"/>
                <w:sz w:val="20"/>
              </w:rPr>
              <w:t>Что обсуждать на разборе</w:t>
            </w:r>
          </w:p>
        </w:tc>
        <w:tc>
          <w:tcPr>
            <w:tcW w:w="6350" w:type="dxa"/>
            <w:shd w:val="clear" w:color="auto" w:fill="19354A"/>
            <w:tcMar>
              <w:top w:w="90" w:type="dxa"/>
              <w:left w:w="105" w:type="dxa"/>
              <w:bottom w:w="90" w:type="dxa"/>
              <w:right w:w="105" w:type="dxa"/>
            </w:tcMar>
            <w:vAlign w:val="center"/>
          </w:tcPr>
          <w:p w14:paraId="3C27D49C" w14:textId="77777777" w:rsidR="00B02B02" w:rsidRDefault="00000000">
            <w:pPr>
              <w:spacing w:before="20" w:after="40" w:line="257" w:lineRule="auto"/>
            </w:pPr>
            <w:r>
              <w:rPr>
                <w:rFonts w:ascii="Arial" w:eastAsia="Arial" w:hAnsi="Arial" w:cs="Arial"/>
                <w:b/>
                <w:color w:val="FFFFFF"/>
                <w:sz w:val="20"/>
              </w:rPr>
              <w:t>Почему это существенно</w:t>
            </w:r>
          </w:p>
        </w:tc>
      </w:tr>
      <w:tr w:rsidR="00B02B02" w14:paraId="61F23FF9" w14:textId="77777777">
        <w:trPr>
          <w:cantSplit/>
          <w:jc w:val="center"/>
        </w:trPr>
        <w:tc>
          <w:tcPr>
            <w:tcW w:w="3175" w:type="dxa"/>
            <w:shd w:val="clear" w:color="auto" w:fill="F0F4F6"/>
            <w:tcMar>
              <w:top w:w="90" w:type="dxa"/>
              <w:left w:w="105" w:type="dxa"/>
              <w:bottom w:w="90" w:type="dxa"/>
              <w:right w:w="105" w:type="dxa"/>
            </w:tcMar>
            <w:vAlign w:val="center"/>
          </w:tcPr>
          <w:p w14:paraId="251F6B3D" w14:textId="77777777" w:rsidR="00B02B02" w:rsidRDefault="00000000">
            <w:pPr>
              <w:spacing w:before="20" w:after="40" w:line="257" w:lineRule="auto"/>
            </w:pPr>
            <w:r>
              <w:rPr>
                <w:rFonts w:ascii="Arial" w:eastAsia="Arial" w:hAnsi="Arial" w:cs="Arial"/>
                <w:color w:val="19354A"/>
                <w:sz w:val="20"/>
              </w:rPr>
              <w:t>Единица результата</w:t>
            </w:r>
          </w:p>
        </w:tc>
        <w:tc>
          <w:tcPr>
            <w:tcW w:w="6350" w:type="dxa"/>
            <w:shd w:val="clear" w:color="auto" w:fill="F0F4F6"/>
            <w:tcMar>
              <w:top w:w="90" w:type="dxa"/>
              <w:left w:w="105" w:type="dxa"/>
              <w:bottom w:w="90" w:type="dxa"/>
              <w:right w:w="105" w:type="dxa"/>
            </w:tcMar>
            <w:vAlign w:val="center"/>
          </w:tcPr>
          <w:p w14:paraId="4161D9ED" w14:textId="77777777" w:rsidR="00B02B02" w:rsidRDefault="00000000">
            <w:pPr>
              <w:spacing w:before="20" w:after="40" w:line="257" w:lineRule="auto"/>
            </w:pPr>
            <w:r>
              <w:rPr>
                <w:rFonts w:ascii="Arial" w:eastAsia="Arial" w:hAnsi="Arial" w:cs="Arial"/>
                <w:color w:val="19354A"/>
                <w:sz w:val="20"/>
              </w:rPr>
              <w:t>Работающая задача пользователя важнее числа опубликованных страниц</w:t>
            </w:r>
          </w:p>
        </w:tc>
      </w:tr>
      <w:tr w:rsidR="00B02B02" w14:paraId="71623D91" w14:textId="77777777">
        <w:trPr>
          <w:cantSplit/>
          <w:jc w:val="center"/>
        </w:trPr>
        <w:tc>
          <w:tcPr>
            <w:tcW w:w="3175" w:type="dxa"/>
            <w:tcMar>
              <w:top w:w="90" w:type="dxa"/>
              <w:left w:w="105" w:type="dxa"/>
              <w:bottom w:w="90" w:type="dxa"/>
              <w:right w:w="105" w:type="dxa"/>
            </w:tcMar>
            <w:vAlign w:val="center"/>
          </w:tcPr>
          <w:p w14:paraId="258D1C5C" w14:textId="77777777" w:rsidR="00B02B02" w:rsidRDefault="00000000">
            <w:pPr>
              <w:spacing w:before="20" w:after="40" w:line="257" w:lineRule="auto"/>
            </w:pPr>
            <w:r>
              <w:rPr>
                <w:rFonts w:ascii="Arial" w:eastAsia="Arial" w:hAnsi="Arial" w:cs="Arial"/>
                <w:color w:val="19354A"/>
                <w:sz w:val="20"/>
              </w:rPr>
              <w:t>Зависимости</w:t>
            </w:r>
          </w:p>
        </w:tc>
        <w:tc>
          <w:tcPr>
            <w:tcW w:w="6350" w:type="dxa"/>
            <w:tcMar>
              <w:top w:w="90" w:type="dxa"/>
              <w:left w:w="105" w:type="dxa"/>
              <w:bottom w:w="90" w:type="dxa"/>
              <w:right w:w="105" w:type="dxa"/>
            </w:tcMar>
            <w:vAlign w:val="center"/>
          </w:tcPr>
          <w:p w14:paraId="3185B44A" w14:textId="77777777" w:rsidR="00B02B02" w:rsidRDefault="00000000">
            <w:pPr>
              <w:spacing w:before="20" w:after="40" w:line="257" w:lineRule="auto"/>
            </w:pPr>
            <w:r>
              <w:rPr>
                <w:rFonts w:ascii="Arial" w:eastAsia="Arial" w:hAnsi="Arial" w:cs="Arial"/>
                <w:color w:val="19354A"/>
                <w:sz w:val="20"/>
              </w:rPr>
              <w:t>Содержание, адреса и поддержка должны быть согласованы</w:t>
            </w:r>
          </w:p>
        </w:tc>
      </w:tr>
      <w:tr w:rsidR="00B02B02" w14:paraId="64AA7C6D" w14:textId="77777777">
        <w:trPr>
          <w:cantSplit/>
          <w:jc w:val="center"/>
        </w:trPr>
        <w:tc>
          <w:tcPr>
            <w:tcW w:w="3175" w:type="dxa"/>
            <w:shd w:val="clear" w:color="auto" w:fill="F0F4F6"/>
            <w:tcMar>
              <w:top w:w="90" w:type="dxa"/>
              <w:left w:w="105" w:type="dxa"/>
              <w:bottom w:w="90" w:type="dxa"/>
              <w:right w:w="105" w:type="dxa"/>
            </w:tcMar>
            <w:vAlign w:val="center"/>
          </w:tcPr>
          <w:p w14:paraId="60E0D6D7" w14:textId="77777777" w:rsidR="00B02B02" w:rsidRDefault="00000000">
            <w:pPr>
              <w:spacing w:before="20" w:after="40" w:line="257" w:lineRule="auto"/>
            </w:pPr>
            <w:r>
              <w:rPr>
                <w:rFonts w:ascii="Arial" w:eastAsia="Arial" w:hAnsi="Arial" w:cs="Arial"/>
                <w:color w:val="19354A"/>
                <w:sz w:val="20"/>
              </w:rPr>
              <w:t>Критерий готовности</w:t>
            </w:r>
          </w:p>
        </w:tc>
        <w:tc>
          <w:tcPr>
            <w:tcW w:w="6350" w:type="dxa"/>
            <w:shd w:val="clear" w:color="auto" w:fill="F0F4F6"/>
            <w:tcMar>
              <w:top w:w="90" w:type="dxa"/>
              <w:left w:w="105" w:type="dxa"/>
              <w:bottom w:w="90" w:type="dxa"/>
              <w:right w:w="105" w:type="dxa"/>
            </w:tcMar>
            <w:vAlign w:val="center"/>
          </w:tcPr>
          <w:p w14:paraId="2C9ED6FD" w14:textId="77777777" w:rsidR="00B02B02" w:rsidRDefault="00000000">
            <w:pPr>
              <w:spacing w:before="20" w:after="40" w:line="257" w:lineRule="auto"/>
            </w:pPr>
            <w:r>
              <w:rPr>
                <w:rFonts w:ascii="Arial" w:eastAsia="Arial" w:hAnsi="Arial" w:cs="Arial"/>
                <w:color w:val="19354A"/>
                <w:sz w:val="20"/>
              </w:rPr>
              <w:t>Проверяется путь со старого ресурса, а не только новый сайт</w:t>
            </w:r>
          </w:p>
        </w:tc>
      </w:tr>
      <w:tr w:rsidR="00B02B02" w14:paraId="09F5861B" w14:textId="77777777">
        <w:trPr>
          <w:cantSplit/>
          <w:jc w:val="center"/>
        </w:trPr>
        <w:tc>
          <w:tcPr>
            <w:tcW w:w="3175" w:type="dxa"/>
            <w:tcMar>
              <w:top w:w="90" w:type="dxa"/>
              <w:left w:w="105" w:type="dxa"/>
              <w:bottom w:w="90" w:type="dxa"/>
              <w:right w:w="105" w:type="dxa"/>
            </w:tcMar>
            <w:vAlign w:val="center"/>
          </w:tcPr>
          <w:p w14:paraId="7B745D9A" w14:textId="77777777" w:rsidR="00B02B02" w:rsidRDefault="00000000">
            <w:pPr>
              <w:spacing w:before="20" w:after="40" w:line="257" w:lineRule="auto"/>
            </w:pPr>
            <w:r>
              <w:rPr>
                <w:rFonts w:ascii="Arial" w:eastAsia="Arial" w:hAnsi="Arial" w:cs="Arial"/>
                <w:color w:val="19354A"/>
                <w:sz w:val="20"/>
              </w:rPr>
              <w:t>Граница вывода</w:t>
            </w:r>
          </w:p>
        </w:tc>
        <w:tc>
          <w:tcPr>
            <w:tcW w:w="6350" w:type="dxa"/>
            <w:tcMar>
              <w:top w:w="90" w:type="dxa"/>
              <w:left w:w="105" w:type="dxa"/>
              <w:bottom w:w="90" w:type="dxa"/>
              <w:right w:w="105" w:type="dxa"/>
            </w:tcMar>
            <w:vAlign w:val="center"/>
          </w:tcPr>
          <w:p w14:paraId="3A37CE63" w14:textId="77777777" w:rsidR="00B02B02" w:rsidRDefault="00000000">
            <w:pPr>
              <w:spacing w:before="20" w:after="40" w:line="257" w:lineRule="auto"/>
            </w:pPr>
            <w:r>
              <w:rPr>
                <w:rFonts w:ascii="Arial" w:eastAsia="Arial" w:hAnsi="Arial" w:cs="Arial"/>
                <w:color w:val="19354A"/>
                <w:sz w:val="20"/>
              </w:rPr>
              <w:t>Факт запуска не раскрывает все долгосрочные эффекты</w:t>
            </w:r>
          </w:p>
        </w:tc>
      </w:tr>
    </w:tbl>
    <w:p w14:paraId="2B2680FE" w14:textId="77777777" w:rsidR="00B02B02" w:rsidRDefault="00B02B02">
      <w:pPr>
        <w:spacing w:after="20" w:line="36" w:lineRule="auto"/>
      </w:pPr>
    </w:p>
    <w:p w14:paraId="7F2F592D" w14:textId="77777777" w:rsidR="00B02B02" w:rsidRDefault="00000000">
      <w:r>
        <w:t>Переносимый урок: включать в границы проекта те действия, без которых пользовательская задача разрывается. Непереносимый элемент — масштаб чужого проекта. Для сервиса университета может быть достаточно десятка сценариев перехода, но логика проверки должна оставаться столь же явной.</w:t>
      </w:r>
    </w:p>
    <w:p w14:paraId="567D096F" w14:textId="77777777" w:rsidR="00B02B02" w:rsidRDefault="00000000">
      <w:r>
        <w:br w:type="page"/>
      </w:r>
    </w:p>
    <w:p w14:paraId="15DFCB5B" w14:textId="77777777" w:rsidR="00B02B02" w:rsidRDefault="00000000">
      <w:pPr>
        <w:pStyle w:val="1"/>
      </w:pPr>
      <w:r>
        <w:lastRenderedPageBreak/>
        <w:t>4. Практический инструмент: паспорт инициативы</w:t>
      </w:r>
    </w:p>
    <w:p w14:paraId="45892857" w14:textId="77777777" w:rsidR="00B02B02" w:rsidRDefault="00000000">
      <w:r>
        <w:t>Паспорт проекта помогает согласовать проблему, ожидаемое изменение и границы. Ниже приведена авторская учебная модель; все сведения о «Кампус Ресурсе» вымышлены. В первой версии рассматриваются десять единиц оборудования одного кампуса и только внутренние пользователи. Это ограничение пилота, а не утверждение, что всем университетам нужен такой масштаб.</w:t>
      </w:r>
    </w:p>
    <w:tbl>
      <w:tblPr>
        <w:tblW w:w="0" w:type="auto"/>
        <w:jc w:val="center"/>
        <w:tblLayout w:type="fixed"/>
        <w:tblLook w:val="04A0" w:firstRow="1" w:lastRow="0" w:firstColumn="1" w:lastColumn="0" w:noHBand="0" w:noVBand="1"/>
      </w:tblPr>
      <w:tblGrid>
        <w:gridCol w:w="2665"/>
        <w:gridCol w:w="6860"/>
      </w:tblGrid>
      <w:tr w:rsidR="00B02B02" w14:paraId="326B522C" w14:textId="77777777">
        <w:trPr>
          <w:cantSplit/>
          <w:tblHeader/>
          <w:jc w:val="center"/>
        </w:trPr>
        <w:tc>
          <w:tcPr>
            <w:tcW w:w="2665" w:type="dxa"/>
            <w:shd w:val="clear" w:color="auto" w:fill="19354A"/>
            <w:tcMar>
              <w:top w:w="90" w:type="dxa"/>
              <w:left w:w="105" w:type="dxa"/>
              <w:bottom w:w="90" w:type="dxa"/>
              <w:right w:w="105" w:type="dxa"/>
            </w:tcMar>
            <w:vAlign w:val="center"/>
          </w:tcPr>
          <w:p w14:paraId="39DD79FB" w14:textId="77777777" w:rsidR="00B02B02" w:rsidRDefault="00000000">
            <w:pPr>
              <w:spacing w:before="20" w:after="40" w:line="257" w:lineRule="auto"/>
            </w:pPr>
            <w:r>
              <w:rPr>
                <w:rFonts w:ascii="Arial" w:eastAsia="Arial" w:hAnsi="Arial" w:cs="Arial"/>
                <w:b/>
                <w:color w:val="FFFFFF"/>
                <w:sz w:val="20"/>
              </w:rPr>
              <w:t>Поле паспорта</w:t>
            </w:r>
          </w:p>
        </w:tc>
        <w:tc>
          <w:tcPr>
            <w:tcW w:w="6860" w:type="dxa"/>
            <w:shd w:val="clear" w:color="auto" w:fill="19354A"/>
            <w:tcMar>
              <w:top w:w="90" w:type="dxa"/>
              <w:left w:w="105" w:type="dxa"/>
              <w:bottom w:w="90" w:type="dxa"/>
              <w:right w:w="105" w:type="dxa"/>
            </w:tcMar>
            <w:vAlign w:val="center"/>
          </w:tcPr>
          <w:p w14:paraId="009D6D00" w14:textId="77777777" w:rsidR="00B02B02" w:rsidRDefault="00000000">
            <w:pPr>
              <w:spacing w:before="20" w:after="40" w:line="257" w:lineRule="auto"/>
            </w:pPr>
            <w:r>
              <w:rPr>
                <w:rFonts w:ascii="Arial" w:eastAsia="Arial" w:hAnsi="Arial" w:cs="Arial"/>
                <w:b/>
                <w:color w:val="FFFFFF"/>
                <w:sz w:val="20"/>
              </w:rPr>
              <w:t>Пример содержательного заполнения</w:t>
            </w:r>
          </w:p>
        </w:tc>
      </w:tr>
      <w:tr w:rsidR="00B02B02" w14:paraId="62F41594" w14:textId="77777777">
        <w:trPr>
          <w:cantSplit/>
          <w:jc w:val="center"/>
        </w:trPr>
        <w:tc>
          <w:tcPr>
            <w:tcW w:w="2665" w:type="dxa"/>
            <w:shd w:val="clear" w:color="auto" w:fill="F0F4F6"/>
            <w:tcMar>
              <w:top w:w="90" w:type="dxa"/>
              <w:left w:w="105" w:type="dxa"/>
              <w:bottom w:w="90" w:type="dxa"/>
              <w:right w:w="105" w:type="dxa"/>
            </w:tcMar>
            <w:vAlign w:val="center"/>
          </w:tcPr>
          <w:p w14:paraId="5A3C2C2A" w14:textId="77777777" w:rsidR="00B02B02" w:rsidRDefault="00000000">
            <w:pPr>
              <w:spacing w:before="20" w:after="40" w:line="257" w:lineRule="auto"/>
            </w:pPr>
            <w:r>
              <w:rPr>
                <w:rFonts w:ascii="Arial" w:eastAsia="Arial" w:hAnsi="Arial" w:cs="Arial"/>
                <w:color w:val="19354A"/>
                <w:sz w:val="20"/>
              </w:rPr>
              <w:t>Проблема</w:t>
            </w:r>
          </w:p>
        </w:tc>
        <w:tc>
          <w:tcPr>
            <w:tcW w:w="6860" w:type="dxa"/>
            <w:shd w:val="clear" w:color="auto" w:fill="F0F4F6"/>
            <w:tcMar>
              <w:top w:w="90" w:type="dxa"/>
              <w:left w:w="105" w:type="dxa"/>
              <w:bottom w:w="90" w:type="dxa"/>
              <w:right w:w="105" w:type="dxa"/>
            </w:tcMar>
            <w:vAlign w:val="center"/>
          </w:tcPr>
          <w:p w14:paraId="517725DB" w14:textId="77777777" w:rsidR="00B02B02" w:rsidRDefault="00000000">
            <w:pPr>
              <w:spacing w:before="20" w:after="40" w:line="257" w:lineRule="auto"/>
            </w:pPr>
            <w:r>
              <w:rPr>
                <w:rFonts w:ascii="Arial" w:eastAsia="Arial" w:hAnsi="Arial" w:cs="Arial"/>
                <w:color w:val="19354A"/>
                <w:sz w:val="20"/>
              </w:rPr>
              <w:t>Заявки хранятся в разных переписках; возможны пересечения</w:t>
            </w:r>
          </w:p>
        </w:tc>
      </w:tr>
      <w:tr w:rsidR="00B02B02" w14:paraId="7F12F723" w14:textId="77777777">
        <w:trPr>
          <w:cantSplit/>
          <w:jc w:val="center"/>
        </w:trPr>
        <w:tc>
          <w:tcPr>
            <w:tcW w:w="2665" w:type="dxa"/>
            <w:tcMar>
              <w:top w:w="90" w:type="dxa"/>
              <w:left w:w="105" w:type="dxa"/>
              <w:bottom w:w="90" w:type="dxa"/>
              <w:right w:w="105" w:type="dxa"/>
            </w:tcMar>
            <w:vAlign w:val="center"/>
          </w:tcPr>
          <w:p w14:paraId="48ECB27F" w14:textId="77777777" w:rsidR="00B02B02" w:rsidRDefault="00000000">
            <w:pPr>
              <w:spacing w:before="20" w:after="40" w:line="257" w:lineRule="auto"/>
            </w:pPr>
            <w:r>
              <w:rPr>
                <w:rFonts w:ascii="Arial" w:eastAsia="Arial" w:hAnsi="Arial" w:cs="Arial"/>
                <w:color w:val="19354A"/>
                <w:sz w:val="20"/>
              </w:rPr>
              <w:t>Предполагаемая причина</w:t>
            </w:r>
          </w:p>
        </w:tc>
        <w:tc>
          <w:tcPr>
            <w:tcW w:w="6860" w:type="dxa"/>
            <w:tcMar>
              <w:top w:w="90" w:type="dxa"/>
              <w:left w:w="105" w:type="dxa"/>
              <w:bottom w:w="90" w:type="dxa"/>
              <w:right w:w="105" w:type="dxa"/>
            </w:tcMar>
            <w:vAlign w:val="center"/>
          </w:tcPr>
          <w:p w14:paraId="3B8882E9" w14:textId="77777777" w:rsidR="00B02B02" w:rsidRDefault="00000000">
            <w:pPr>
              <w:spacing w:before="20" w:after="40" w:line="257" w:lineRule="auto"/>
            </w:pPr>
            <w:r>
              <w:rPr>
                <w:rFonts w:ascii="Arial" w:eastAsia="Arial" w:hAnsi="Arial" w:cs="Arial"/>
                <w:color w:val="19354A"/>
                <w:sz w:val="20"/>
              </w:rPr>
              <w:t>Нет единого актуального состояния доступности; гипотеза требует проверки</w:t>
            </w:r>
          </w:p>
        </w:tc>
      </w:tr>
      <w:tr w:rsidR="00B02B02" w14:paraId="755A6026" w14:textId="77777777">
        <w:trPr>
          <w:cantSplit/>
          <w:jc w:val="center"/>
        </w:trPr>
        <w:tc>
          <w:tcPr>
            <w:tcW w:w="2665" w:type="dxa"/>
            <w:shd w:val="clear" w:color="auto" w:fill="F0F4F6"/>
            <w:tcMar>
              <w:top w:w="90" w:type="dxa"/>
              <w:left w:w="105" w:type="dxa"/>
              <w:bottom w:w="90" w:type="dxa"/>
              <w:right w:w="105" w:type="dxa"/>
            </w:tcMar>
            <w:vAlign w:val="center"/>
          </w:tcPr>
          <w:p w14:paraId="159FF965" w14:textId="77777777" w:rsidR="00B02B02" w:rsidRDefault="00000000">
            <w:pPr>
              <w:spacing w:before="20" w:after="40" w:line="257" w:lineRule="auto"/>
            </w:pPr>
            <w:r>
              <w:rPr>
                <w:rFonts w:ascii="Arial" w:eastAsia="Arial" w:hAnsi="Arial" w:cs="Arial"/>
                <w:color w:val="19354A"/>
                <w:sz w:val="20"/>
              </w:rPr>
              <w:t>Ожидаемое изменение</w:t>
            </w:r>
          </w:p>
        </w:tc>
        <w:tc>
          <w:tcPr>
            <w:tcW w:w="6860" w:type="dxa"/>
            <w:shd w:val="clear" w:color="auto" w:fill="F0F4F6"/>
            <w:tcMar>
              <w:top w:w="90" w:type="dxa"/>
              <w:left w:w="105" w:type="dxa"/>
              <w:bottom w:w="90" w:type="dxa"/>
              <w:right w:w="105" w:type="dxa"/>
            </w:tcMar>
            <w:vAlign w:val="center"/>
          </w:tcPr>
          <w:p w14:paraId="352F5EF3" w14:textId="77777777" w:rsidR="00B02B02" w:rsidRDefault="00000000">
            <w:pPr>
              <w:spacing w:before="20" w:after="40" w:line="257" w:lineRule="auto"/>
            </w:pPr>
            <w:r>
              <w:rPr>
                <w:rFonts w:ascii="Arial" w:eastAsia="Arial" w:hAnsi="Arial" w:cs="Arial"/>
                <w:color w:val="19354A"/>
                <w:sz w:val="20"/>
              </w:rPr>
              <w:t>Пользователь видит статус и получает однозначное подтверждение</w:t>
            </w:r>
          </w:p>
        </w:tc>
      </w:tr>
      <w:tr w:rsidR="00B02B02" w14:paraId="6BEFF316" w14:textId="77777777">
        <w:trPr>
          <w:cantSplit/>
          <w:jc w:val="center"/>
        </w:trPr>
        <w:tc>
          <w:tcPr>
            <w:tcW w:w="2665" w:type="dxa"/>
            <w:tcMar>
              <w:top w:w="90" w:type="dxa"/>
              <w:left w:w="105" w:type="dxa"/>
              <w:bottom w:w="90" w:type="dxa"/>
              <w:right w:w="105" w:type="dxa"/>
            </w:tcMar>
            <w:vAlign w:val="center"/>
          </w:tcPr>
          <w:p w14:paraId="272783C6" w14:textId="77777777" w:rsidR="00B02B02" w:rsidRDefault="00000000">
            <w:pPr>
              <w:spacing w:before="20" w:after="40" w:line="257" w:lineRule="auto"/>
            </w:pPr>
            <w:r>
              <w:rPr>
                <w:rFonts w:ascii="Arial" w:eastAsia="Arial" w:hAnsi="Arial" w:cs="Arial"/>
                <w:color w:val="19354A"/>
                <w:sz w:val="20"/>
              </w:rPr>
              <w:t>Входит в объем</w:t>
            </w:r>
          </w:p>
        </w:tc>
        <w:tc>
          <w:tcPr>
            <w:tcW w:w="6860" w:type="dxa"/>
            <w:tcMar>
              <w:top w:w="90" w:type="dxa"/>
              <w:left w:w="105" w:type="dxa"/>
              <w:bottom w:w="90" w:type="dxa"/>
              <w:right w:w="105" w:type="dxa"/>
            </w:tcMar>
            <w:vAlign w:val="center"/>
          </w:tcPr>
          <w:p w14:paraId="31F7010C" w14:textId="77777777" w:rsidR="00B02B02" w:rsidRDefault="00000000">
            <w:pPr>
              <w:spacing w:before="20" w:after="40" w:line="257" w:lineRule="auto"/>
            </w:pPr>
            <w:r>
              <w:rPr>
                <w:rFonts w:ascii="Arial" w:eastAsia="Arial" w:hAnsi="Arial" w:cs="Arial"/>
                <w:color w:val="19354A"/>
                <w:sz w:val="20"/>
              </w:rPr>
              <w:t>Каталог, запрос, подтверждение, отмена, журнал действий</w:t>
            </w:r>
          </w:p>
        </w:tc>
      </w:tr>
      <w:tr w:rsidR="00B02B02" w14:paraId="3651A7F3" w14:textId="77777777">
        <w:trPr>
          <w:cantSplit/>
          <w:jc w:val="center"/>
        </w:trPr>
        <w:tc>
          <w:tcPr>
            <w:tcW w:w="2665" w:type="dxa"/>
            <w:shd w:val="clear" w:color="auto" w:fill="F0F4F6"/>
            <w:tcMar>
              <w:top w:w="90" w:type="dxa"/>
              <w:left w:w="105" w:type="dxa"/>
              <w:bottom w:w="90" w:type="dxa"/>
              <w:right w:w="105" w:type="dxa"/>
            </w:tcMar>
            <w:vAlign w:val="center"/>
          </w:tcPr>
          <w:p w14:paraId="6F4D8900" w14:textId="77777777" w:rsidR="00B02B02" w:rsidRDefault="00000000">
            <w:pPr>
              <w:spacing w:before="20" w:after="40" w:line="257" w:lineRule="auto"/>
            </w:pPr>
            <w:r>
              <w:rPr>
                <w:rFonts w:ascii="Arial" w:eastAsia="Arial" w:hAnsi="Arial" w:cs="Arial"/>
                <w:color w:val="19354A"/>
                <w:sz w:val="20"/>
              </w:rPr>
              <w:t>Не входит в объем</w:t>
            </w:r>
          </w:p>
        </w:tc>
        <w:tc>
          <w:tcPr>
            <w:tcW w:w="6860" w:type="dxa"/>
            <w:shd w:val="clear" w:color="auto" w:fill="F0F4F6"/>
            <w:tcMar>
              <w:top w:w="90" w:type="dxa"/>
              <w:left w:w="105" w:type="dxa"/>
              <w:bottom w:w="90" w:type="dxa"/>
              <w:right w:w="105" w:type="dxa"/>
            </w:tcMar>
            <w:vAlign w:val="center"/>
          </w:tcPr>
          <w:p w14:paraId="0C8DC881" w14:textId="77777777" w:rsidR="00B02B02" w:rsidRDefault="00000000">
            <w:pPr>
              <w:spacing w:before="20" w:after="40" w:line="257" w:lineRule="auto"/>
            </w:pPr>
            <w:r>
              <w:rPr>
                <w:rFonts w:ascii="Arial" w:eastAsia="Arial" w:hAnsi="Arial" w:cs="Arial"/>
                <w:color w:val="19354A"/>
                <w:sz w:val="20"/>
              </w:rPr>
              <w:t>Платежи, внешний прокат, автоматическая закупка оборудования</w:t>
            </w:r>
          </w:p>
        </w:tc>
      </w:tr>
      <w:tr w:rsidR="00B02B02" w14:paraId="31DB8EAA" w14:textId="77777777">
        <w:trPr>
          <w:cantSplit/>
          <w:jc w:val="center"/>
        </w:trPr>
        <w:tc>
          <w:tcPr>
            <w:tcW w:w="2665" w:type="dxa"/>
            <w:tcMar>
              <w:top w:w="90" w:type="dxa"/>
              <w:left w:w="105" w:type="dxa"/>
              <w:bottom w:w="90" w:type="dxa"/>
              <w:right w:w="105" w:type="dxa"/>
            </w:tcMar>
            <w:vAlign w:val="center"/>
          </w:tcPr>
          <w:p w14:paraId="75A4D9C2" w14:textId="77777777" w:rsidR="00B02B02" w:rsidRDefault="00000000">
            <w:pPr>
              <w:spacing w:before="20" w:after="40" w:line="257" w:lineRule="auto"/>
            </w:pPr>
            <w:r>
              <w:rPr>
                <w:rFonts w:ascii="Arial" w:eastAsia="Arial" w:hAnsi="Arial" w:cs="Arial"/>
                <w:color w:val="19354A"/>
                <w:sz w:val="20"/>
              </w:rPr>
              <w:t>Владелец сервиса</w:t>
            </w:r>
          </w:p>
        </w:tc>
        <w:tc>
          <w:tcPr>
            <w:tcW w:w="6860" w:type="dxa"/>
            <w:tcMar>
              <w:top w:w="90" w:type="dxa"/>
              <w:left w:w="105" w:type="dxa"/>
              <w:bottom w:w="90" w:type="dxa"/>
              <w:right w:w="105" w:type="dxa"/>
            </w:tcMar>
            <w:vAlign w:val="center"/>
          </w:tcPr>
          <w:p w14:paraId="5042E86D" w14:textId="77777777" w:rsidR="00B02B02" w:rsidRDefault="00000000">
            <w:pPr>
              <w:spacing w:before="20" w:after="40" w:line="257" w:lineRule="auto"/>
            </w:pPr>
            <w:r>
              <w:rPr>
                <w:rFonts w:ascii="Arial" w:eastAsia="Arial" w:hAnsi="Arial" w:cs="Arial"/>
                <w:color w:val="19354A"/>
                <w:sz w:val="20"/>
              </w:rPr>
              <w:t>Назначенный представитель подразделения, принимающий поддержку</w:t>
            </w:r>
          </w:p>
        </w:tc>
      </w:tr>
    </w:tbl>
    <w:p w14:paraId="4EFCED45" w14:textId="77777777" w:rsidR="00B02B02" w:rsidRDefault="00B02B02">
      <w:pPr>
        <w:spacing w:after="20" w:line="36" w:lineRule="auto"/>
      </w:pPr>
    </w:p>
    <w:p w14:paraId="58273DEA" w14:textId="77777777" w:rsidR="00B02B02" w:rsidRDefault="00000000">
      <w:r>
        <w:t>Формулировка «сделать удобную систему» недостаточна: разные участники понимают удобство по-разному. Лучше назвать наблюдаемое действие. Например, участник учебного теста выбирает подходящий прибор, проверяет свободный интервал и понимает, подтверждено ли бронирование. Для проверки нужны сценарий, критерий правильности и фиксация оказанной помощи.</w:t>
      </w:r>
    </w:p>
    <w:p w14:paraId="747F2FA4" w14:textId="77777777" w:rsidR="00B02B02" w:rsidRDefault="00000000">
      <w:r>
        <w:t>В паспорте отделяют ограничение от предположения. «Используем только обезличенные учебные записи» — установленное правило задания. «Пользователи имеют стабильный интернет» — предположение, которое может не подтвердиться. Если записать оба как бесспорные условия, команда рискует не заметить важную проблему доступа.</w:t>
      </w:r>
    </w:p>
    <w:p w14:paraId="4E53AD86" w14:textId="77777777" w:rsidR="00B02B02" w:rsidRDefault="00000000">
      <w:pPr>
        <w:pStyle w:val="Callout"/>
        <w:pBdr>
          <w:left w:val="single" w:sz="16" w:space="8" w:color="246A73"/>
        </w:pBdr>
        <w:shd w:val="clear" w:color="auto" w:fill="EDF4F5"/>
      </w:pPr>
      <w:r>
        <w:t>Практический вопрос спонсору: какое наблюдение убедит вас, что дальнейшее финансирование следует пересмотреть? Ответ полезно зафиксировать до начала разработки.</w:t>
      </w:r>
    </w:p>
    <w:p w14:paraId="7B34CCC3" w14:textId="77777777" w:rsidR="00B02B02" w:rsidRDefault="00000000">
      <w:r>
        <w:br w:type="page"/>
      </w:r>
    </w:p>
    <w:p w14:paraId="33A041F0" w14:textId="77777777" w:rsidR="00B02B02" w:rsidRDefault="00000000">
      <w:pPr>
        <w:pStyle w:val="1"/>
      </w:pPr>
      <w:r>
        <w:lastRenderedPageBreak/>
        <w:t>5. Результат поставки и польза: пример расчета</w:t>
      </w:r>
    </w:p>
    <w:p w14:paraId="260E59A6" w14:textId="77777777" w:rsidR="00B02B02" w:rsidRDefault="00000000">
      <w:r>
        <w:t>Условный учебный пример. До изменения процесса обработка одной заявки занимала в среднем 6 минут, после пилота — 4 минуты. Для сопоставимых 200 заявок расчетная разница составляет 200 × (6 − 4) = 400 минут, то есть 6 часов 40 минут. Это оценка высвобождаемого времени при заданных условиях, а не автоматически денежная экономия.</w:t>
      </w:r>
    </w:p>
    <w:p w14:paraId="0F91F765" w14:textId="77777777" w:rsidR="00B02B02" w:rsidRDefault="00000000">
      <w:r>
        <w:t>Сотрудник мог потратить освободившееся время на другие обязанности, а штат и фонд оплаты труда — остаться прежними. Кроме того, если во втором периоде заявки были проще, разницу нельзя полностью отнести к цифровому решению. Требуется проверить состав обращений, правила учета времени и параллельные изменения процесса.</w:t>
      </w:r>
    </w:p>
    <w:tbl>
      <w:tblPr>
        <w:tblW w:w="0" w:type="auto"/>
        <w:jc w:val="center"/>
        <w:tblLayout w:type="fixed"/>
        <w:tblLook w:val="04A0" w:firstRow="1" w:lastRow="0" w:firstColumn="1" w:lastColumn="0" w:noHBand="0" w:noVBand="1"/>
      </w:tblPr>
      <w:tblGrid>
        <w:gridCol w:w="1871"/>
        <w:gridCol w:w="3572"/>
        <w:gridCol w:w="4082"/>
      </w:tblGrid>
      <w:tr w:rsidR="00B02B02" w14:paraId="549FDEEF" w14:textId="77777777">
        <w:trPr>
          <w:cantSplit/>
          <w:tblHeader/>
          <w:jc w:val="center"/>
        </w:trPr>
        <w:tc>
          <w:tcPr>
            <w:tcW w:w="1871" w:type="dxa"/>
            <w:shd w:val="clear" w:color="auto" w:fill="19354A"/>
            <w:tcMar>
              <w:top w:w="90" w:type="dxa"/>
              <w:left w:w="105" w:type="dxa"/>
              <w:bottom w:w="90" w:type="dxa"/>
              <w:right w:w="105" w:type="dxa"/>
            </w:tcMar>
            <w:vAlign w:val="center"/>
          </w:tcPr>
          <w:p w14:paraId="6DCC991B" w14:textId="77777777" w:rsidR="00B02B02" w:rsidRDefault="00000000">
            <w:pPr>
              <w:spacing w:before="20" w:after="40" w:line="257" w:lineRule="auto"/>
            </w:pPr>
            <w:r>
              <w:rPr>
                <w:rFonts w:ascii="Arial" w:eastAsia="Arial" w:hAnsi="Arial" w:cs="Arial"/>
                <w:b/>
                <w:color w:val="FFFFFF"/>
                <w:sz w:val="20"/>
              </w:rPr>
              <w:t>Уровень</w:t>
            </w:r>
          </w:p>
        </w:tc>
        <w:tc>
          <w:tcPr>
            <w:tcW w:w="3572" w:type="dxa"/>
            <w:shd w:val="clear" w:color="auto" w:fill="19354A"/>
            <w:tcMar>
              <w:top w:w="90" w:type="dxa"/>
              <w:left w:w="105" w:type="dxa"/>
              <w:bottom w:w="90" w:type="dxa"/>
              <w:right w:w="105" w:type="dxa"/>
            </w:tcMar>
            <w:vAlign w:val="center"/>
          </w:tcPr>
          <w:p w14:paraId="5D1AA295" w14:textId="77777777" w:rsidR="00B02B02" w:rsidRDefault="00000000">
            <w:pPr>
              <w:spacing w:before="20" w:after="40" w:line="257" w:lineRule="auto"/>
            </w:pPr>
            <w:r>
              <w:rPr>
                <w:rFonts w:ascii="Arial" w:eastAsia="Arial" w:hAnsi="Arial" w:cs="Arial"/>
                <w:b/>
                <w:color w:val="FFFFFF"/>
                <w:sz w:val="20"/>
              </w:rPr>
              <w:t>Подходящий показатель</w:t>
            </w:r>
          </w:p>
        </w:tc>
        <w:tc>
          <w:tcPr>
            <w:tcW w:w="4082" w:type="dxa"/>
            <w:shd w:val="clear" w:color="auto" w:fill="19354A"/>
            <w:tcMar>
              <w:top w:w="90" w:type="dxa"/>
              <w:left w:w="105" w:type="dxa"/>
              <w:bottom w:w="90" w:type="dxa"/>
              <w:right w:w="105" w:type="dxa"/>
            </w:tcMar>
            <w:vAlign w:val="center"/>
          </w:tcPr>
          <w:p w14:paraId="61DC1F0B" w14:textId="77777777" w:rsidR="00B02B02" w:rsidRDefault="00000000">
            <w:pPr>
              <w:spacing w:before="20" w:after="40" w:line="257" w:lineRule="auto"/>
            </w:pPr>
            <w:r>
              <w:rPr>
                <w:rFonts w:ascii="Arial" w:eastAsia="Arial" w:hAnsi="Arial" w:cs="Arial"/>
                <w:b/>
                <w:color w:val="FFFFFF"/>
                <w:sz w:val="20"/>
              </w:rPr>
              <w:t>Что он не доказывает</w:t>
            </w:r>
          </w:p>
        </w:tc>
      </w:tr>
      <w:tr w:rsidR="00B02B02" w14:paraId="0981F4C9" w14:textId="77777777">
        <w:trPr>
          <w:cantSplit/>
          <w:jc w:val="center"/>
        </w:trPr>
        <w:tc>
          <w:tcPr>
            <w:tcW w:w="1871" w:type="dxa"/>
            <w:shd w:val="clear" w:color="auto" w:fill="F0F4F6"/>
            <w:tcMar>
              <w:top w:w="90" w:type="dxa"/>
              <w:left w:w="105" w:type="dxa"/>
              <w:bottom w:w="90" w:type="dxa"/>
              <w:right w:w="105" w:type="dxa"/>
            </w:tcMar>
            <w:vAlign w:val="center"/>
          </w:tcPr>
          <w:p w14:paraId="14384CEB" w14:textId="77777777" w:rsidR="00B02B02" w:rsidRDefault="00000000">
            <w:pPr>
              <w:spacing w:before="20" w:after="40" w:line="257" w:lineRule="auto"/>
            </w:pPr>
            <w:r>
              <w:rPr>
                <w:rFonts w:ascii="Arial" w:eastAsia="Arial" w:hAnsi="Arial" w:cs="Arial"/>
                <w:color w:val="19354A"/>
                <w:sz w:val="20"/>
              </w:rPr>
              <w:t>Поставка</w:t>
            </w:r>
          </w:p>
        </w:tc>
        <w:tc>
          <w:tcPr>
            <w:tcW w:w="3572" w:type="dxa"/>
            <w:shd w:val="clear" w:color="auto" w:fill="F0F4F6"/>
            <w:tcMar>
              <w:top w:w="90" w:type="dxa"/>
              <w:left w:w="105" w:type="dxa"/>
              <w:bottom w:w="90" w:type="dxa"/>
              <w:right w:w="105" w:type="dxa"/>
            </w:tcMar>
            <w:vAlign w:val="center"/>
          </w:tcPr>
          <w:p w14:paraId="4EEBA1E5" w14:textId="77777777" w:rsidR="00B02B02" w:rsidRDefault="00000000">
            <w:pPr>
              <w:spacing w:before="20" w:after="40" w:line="257" w:lineRule="auto"/>
            </w:pPr>
            <w:r>
              <w:rPr>
                <w:rFonts w:ascii="Arial" w:eastAsia="Arial" w:hAnsi="Arial" w:cs="Arial"/>
                <w:color w:val="19354A"/>
                <w:sz w:val="20"/>
              </w:rPr>
              <w:t>Прототип прошел согласованные проверки</w:t>
            </w:r>
          </w:p>
        </w:tc>
        <w:tc>
          <w:tcPr>
            <w:tcW w:w="4082" w:type="dxa"/>
            <w:shd w:val="clear" w:color="auto" w:fill="F0F4F6"/>
            <w:tcMar>
              <w:top w:w="90" w:type="dxa"/>
              <w:left w:w="105" w:type="dxa"/>
              <w:bottom w:w="90" w:type="dxa"/>
              <w:right w:w="105" w:type="dxa"/>
            </w:tcMar>
            <w:vAlign w:val="center"/>
          </w:tcPr>
          <w:p w14:paraId="40AEB5D1" w14:textId="77777777" w:rsidR="00B02B02" w:rsidRDefault="00000000">
            <w:pPr>
              <w:spacing w:before="20" w:after="40" w:line="257" w:lineRule="auto"/>
            </w:pPr>
            <w:r>
              <w:rPr>
                <w:rFonts w:ascii="Arial" w:eastAsia="Arial" w:hAnsi="Arial" w:cs="Arial"/>
                <w:color w:val="19354A"/>
                <w:sz w:val="20"/>
              </w:rPr>
              <w:t>Получение долгосрочной пользы</w:t>
            </w:r>
          </w:p>
        </w:tc>
      </w:tr>
      <w:tr w:rsidR="00B02B02" w14:paraId="49637B32" w14:textId="77777777">
        <w:trPr>
          <w:cantSplit/>
          <w:jc w:val="center"/>
        </w:trPr>
        <w:tc>
          <w:tcPr>
            <w:tcW w:w="1871" w:type="dxa"/>
            <w:tcMar>
              <w:top w:w="90" w:type="dxa"/>
              <w:left w:w="105" w:type="dxa"/>
              <w:bottom w:w="90" w:type="dxa"/>
              <w:right w:w="105" w:type="dxa"/>
            </w:tcMar>
            <w:vAlign w:val="center"/>
          </w:tcPr>
          <w:p w14:paraId="59987F09" w14:textId="77777777" w:rsidR="00B02B02" w:rsidRDefault="00000000">
            <w:pPr>
              <w:spacing w:before="20" w:after="40" w:line="257" w:lineRule="auto"/>
            </w:pPr>
            <w:r>
              <w:rPr>
                <w:rFonts w:ascii="Arial" w:eastAsia="Arial" w:hAnsi="Arial" w:cs="Arial"/>
                <w:color w:val="19354A"/>
                <w:sz w:val="20"/>
              </w:rPr>
              <w:t>Использование</w:t>
            </w:r>
          </w:p>
        </w:tc>
        <w:tc>
          <w:tcPr>
            <w:tcW w:w="3572" w:type="dxa"/>
            <w:tcMar>
              <w:top w:w="90" w:type="dxa"/>
              <w:left w:w="105" w:type="dxa"/>
              <w:bottom w:w="90" w:type="dxa"/>
              <w:right w:w="105" w:type="dxa"/>
            </w:tcMar>
            <w:vAlign w:val="center"/>
          </w:tcPr>
          <w:p w14:paraId="4A4E6911" w14:textId="77777777" w:rsidR="00B02B02" w:rsidRDefault="00000000">
            <w:pPr>
              <w:spacing w:before="20" w:after="40" w:line="257" w:lineRule="auto"/>
            </w:pPr>
            <w:r>
              <w:rPr>
                <w:rFonts w:ascii="Arial" w:eastAsia="Arial" w:hAnsi="Arial" w:cs="Arial"/>
                <w:color w:val="19354A"/>
                <w:sz w:val="20"/>
              </w:rPr>
              <w:t>Доля задач, выполненных без помощи</w:t>
            </w:r>
          </w:p>
        </w:tc>
        <w:tc>
          <w:tcPr>
            <w:tcW w:w="4082" w:type="dxa"/>
            <w:tcMar>
              <w:top w:w="90" w:type="dxa"/>
              <w:left w:w="105" w:type="dxa"/>
              <w:bottom w:w="90" w:type="dxa"/>
              <w:right w:w="105" w:type="dxa"/>
            </w:tcMar>
            <w:vAlign w:val="center"/>
          </w:tcPr>
          <w:p w14:paraId="3D218120" w14:textId="77777777" w:rsidR="00B02B02" w:rsidRDefault="00000000">
            <w:pPr>
              <w:spacing w:before="20" w:after="40" w:line="257" w:lineRule="auto"/>
            </w:pPr>
            <w:r>
              <w:rPr>
                <w:rFonts w:ascii="Arial" w:eastAsia="Arial" w:hAnsi="Arial" w:cs="Arial"/>
                <w:color w:val="19354A"/>
                <w:sz w:val="20"/>
              </w:rPr>
              <w:t>Сокращение общих расходов</w:t>
            </w:r>
          </w:p>
        </w:tc>
      </w:tr>
      <w:tr w:rsidR="00B02B02" w14:paraId="437E180F" w14:textId="77777777">
        <w:trPr>
          <w:cantSplit/>
          <w:jc w:val="center"/>
        </w:trPr>
        <w:tc>
          <w:tcPr>
            <w:tcW w:w="1871" w:type="dxa"/>
            <w:shd w:val="clear" w:color="auto" w:fill="F0F4F6"/>
            <w:tcMar>
              <w:top w:w="90" w:type="dxa"/>
              <w:left w:w="105" w:type="dxa"/>
              <w:bottom w:w="90" w:type="dxa"/>
              <w:right w:w="105" w:type="dxa"/>
            </w:tcMar>
            <w:vAlign w:val="center"/>
          </w:tcPr>
          <w:p w14:paraId="087A0D73" w14:textId="77777777" w:rsidR="00B02B02" w:rsidRDefault="00000000">
            <w:pPr>
              <w:spacing w:before="20" w:after="40" w:line="257" w:lineRule="auto"/>
            </w:pPr>
            <w:r>
              <w:rPr>
                <w:rFonts w:ascii="Arial" w:eastAsia="Arial" w:hAnsi="Arial" w:cs="Arial"/>
                <w:color w:val="19354A"/>
                <w:sz w:val="20"/>
              </w:rPr>
              <w:t>Качество процесса</w:t>
            </w:r>
          </w:p>
        </w:tc>
        <w:tc>
          <w:tcPr>
            <w:tcW w:w="3572" w:type="dxa"/>
            <w:shd w:val="clear" w:color="auto" w:fill="F0F4F6"/>
            <w:tcMar>
              <w:top w:w="90" w:type="dxa"/>
              <w:left w:w="105" w:type="dxa"/>
              <w:bottom w:w="90" w:type="dxa"/>
              <w:right w:w="105" w:type="dxa"/>
            </w:tcMar>
            <w:vAlign w:val="center"/>
          </w:tcPr>
          <w:p w14:paraId="4D62B7EA" w14:textId="77777777" w:rsidR="00B02B02" w:rsidRDefault="00000000">
            <w:pPr>
              <w:spacing w:before="20" w:after="40" w:line="257" w:lineRule="auto"/>
            </w:pPr>
            <w:r>
              <w:rPr>
                <w:rFonts w:ascii="Arial" w:eastAsia="Arial" w:hAnsi="Arial" w:cs="Arial"/>
                <w:color w:val="19354A"/>
                <w:sz w:val="20"/>
              </w:rPr>
              <w:t>Доля конфликтующих бронирований</w:t>
            </w:r>
          </w:p>
        </w:tc>
        <w:tc>
          <w:tcPr>
            <w:tcW w:w="4082" w:type="dxa"/>
            <w:shd w:val="clear" w:color="auto" w:fill="F0F4F6"/>
            <w:tcMar>
              <w:top w:w="90" w:type="dxa"/>
              <w:left w:w="105" w:type="dxa"/>
              <w:bottom w:w="90" w:type="dxa"/>
              <w:right w:w="105" w:type="dxa"/>
            </w:tcMar>
            <w:vAlign w:val="center"/>
          </w:tcPr>
          <w:p w14:paraId="5F365C41" w14:textId="77777777" w:rsidR="00B02B02" w:rsidRDefault="00000000">
            <w:pPr>
              <w:spacing w:before="20" w:after="40" w:line="257" w:lineRule="auto"/>
            </w:pPr>
            <w:r>
              <w:rPr>
                <w:rFonts w:ascii="Arial" w:eastAsia="Arial" w:hAnsi="Arial" w:cs="Arial"/>
                <w:color w:val="19354A"/>
                <w:sz w:val="20"/>
              </w:rPr>
              <w:t>Причину изменения без анализа</w:t>
            </w:r>
          </w:p>
        </w:tc>
      </w:tr>
      <w:tr w:rsidR="00B02B02" w14:paraId="14E026E1" w14:textId="77777777">
        <w:trPr>
          <w:cantSplit/>
          <w:jc w:val="center"/>
        </w:trPr>
        <w:tc>
          <w:tcPr>
            <w:tcW w:w="1871" w:type="dxa"/>
            <w:tcMar>
              <w:top w:w="90" w:type="dxa"/>
              <w:left w:w="105" w:type="dxa"/>
              <w:bottom w:w="90" w:type="dxa"/>
              <w:right w:w="105" w:type="dxa"/>
            </w:tcMar>
            <w:vAlign w:val="center"/>
          </w:tcPr>
          <w:p w14:paraId="576DC73F" w14:textId="77777777" w:rsidR="00B02B02" w:rsidRDefault="00000000">
            <w:pPr>
              <w:spacing w:before="20" w:after="40" w:line="257" w:lineRule="auto"/>
            </w:pPr>
            <w:r>
              <w:rPr>
                <w:rFonts w:ascii="Arial" w:eastAsia="Arial" w:hAnsi="Arial" w:cs="Arial"/>
                <w:color w:val="19354A"/>
                <w:sz w:val="20"/>
              </w:rPr>
              <w:t>Ресурсы</w:t>
            </w:r>
          </w:p>
        </w:tc>
        <w:tc>
          <w:tcPr>
            <w:tcW w:w="3572" w:type="dxa"/>
            <w:tcMar>
              <w:top w:w="90" w:type="dxa"/>
              <w:left w:w="105" w:type="dxa"/>
              <w:bottom w:w="90" w:type="dxa"/>
              <w:right w:w="105" w:type="dxa"/>
            </w:tcMar>
            <w:vAlign w:val="center"/>
          </w:tcPr>
          <w:p w14:paraId="2981A6E3" w14:textId="77777777" w:rsidR="00B02B02" w:rsidRDefault="00000000">
            <w:pPr>
              <w:spacing w:before="20" w:after="40" w:line="257" w:lineRule="auto"/>
            </w:pPr>
            <w:r>
              <w:rPr>
                <w:rFonts w:ascii="Arial" w:eastAsia="Arial" w:hAnsi="Arial" w:cs="Arial"/>
                <w:color w:val="19354A"/>
                <w:sz w:val="20"/>
              </w:rPr>
              <w:t>Время обработки сопоставимой заявки</w:t>
            </w:r>
          </w:p>
        </w:tc>
        <w:tc>
          <w:tcPr>
            <w:tcW w:w="4082" w:type="dxa"/>
            <w:tcMar>
              <w:top w:w="90" w:type="dxa"/>
              <w:left w:w="105" w:type="dxa"/>
              <w:bottom w:w="90" w:type="dxa"/>
              <w:right w:w="105" w:type="dxa"/>
            </w:tcMar>
            <w:vAlign w:val="center"/>
          </w:tcPr>
          <w:p w14:paraId="6DEC14A0" w14:textId="77777777" w:rsidR="00B02B02" w:rsidRDefault="00000000">
            <w:pPr>
              <w:spacing w:before="20" w:after="40" w:line="257" w:lineRule="auto"/>
            </w:pPr>
            <w:r>
              <w:rPr>
                <w:rFonts w:ascii="Arial" w:eastAsia="Arial" w:hAnsi="Arial" w:cs="Arial"/>
                <w:color w:val="19354A"/>
                <w:sz w:val="20"/>
              </w:rPr>
              <w:t>Автоматическое сокращение бюджета</w:t>
            </w:r>
          </w:p>
        </w:tc>
      </w:tr>
    </w:tbl>
    <w:p w14:paraId="764036D0" w14:textId="77777777" w:rsidR="00B02B02" w:rsidRDefault="00B02B02">
      <w:pPr>
        <w:spacing w:after="20" w:line="36" w:lineRule="auto"/>
      </w:pPr>
    </w:p>
    <w:p w14:paraId="1883C8CB" w14:textId="77777777" w:rsidR="00B02B02" w:rsidRDefault="00000000">
      <w:pPr>
        <w:pStyle w:val="21"/>
      </w:pPr>
      <w:r>
        <w:t>Как не подменить цель удобной метрикой</w:t>
      </w:r>
    </w:p>
    <w:p w14:paraId="12BAD7B6" w14:textId="77777777" w:rsidR="00B02B02" w:rsidRDefault="00000000">
      <w:r>
        <w:t>Число регистраций удобно показать в отчете, но оно не отвечает на вопрос о доступности оборудования. Для пилота можно выбрать основной показатель — успешное завершение бронирования, диагностический — число уточнений, защитный — количество ошибочных подтверждений. Рост первого при ухудшении последнего требует пересмотра решения.</w:t>
      </w:r>
    </w:p>
    <w:p w14:paraId="24F20AEE" w14:textId="77777777" w:rsidR="00B02B02" w:rsidRDefault="00000000">
      <w:r>
        <w:t>План оценки составляется заранее. Нужно определить, кто собирает данные, какой период наблюдается и что считается ошибкой. В дистанционном задании можно ограничиться планом замера и синтетическим расчетом. Нельзя представлять придуманные пользователями ответы или автоматически сгенерированные отзывы как проведенное исследование.</w:t>
      </w:r>
    </w:p>
    <w:p w14:paraId="749A0D92" w14:textId="77777777" w:rsidR="00B02B02" w:rsidRDefault="00000000">
      <w:r>
        <w:br w:type="page"/>
      </w:r>
    </w:p>
    <w:p w14:paraId="55079452" w14:textId="77777777" w:rsidR="00B02B02" w:rsidRDefault="00000000">
      <w:pPr>
        <w:pStyle w:val="1"/>
      </w:pPr>
      <w:r>
        <w:lastRenderedPageBreak/>
        <w:t>6. Самостоятельная работа и самопроверка</w:t>
      </w:r>
    </w:p>
    <w:p w14:paraId="1ED1F86A" w14:textId="77777777" w:rsidR="00B02B02" w:rsidRDefault="00000000">
      <w:pPr>
        <w:pStyle w:val="21"/>
      </w:pPr>
      <w:r>
        <w:t>Задание: одностраничное обоснование проекта</w:t>
      </w:r>
    </w:p>
    <w:p w14:paraId="7833C030" w14:textId="77777777" w:rsidR="00B02B02" w:rsidRDefault="00000000">
      <w:r>
        <w:t>Выберите «Кампус Ресурс» либо собственный согласованный учебный объект. Подготовьте паспорт на 1–2 страницы: проблема, аудитория, подтвержденные сведения, гипотезы причин, границы первой версии, ответственные и три показателя. Добавьте схему из четырех контрольных решений и условие прекращения работы. Реальный запуск или доступ к чужой системе не требуются.</w:t>
      </w:r>
    </w:p>
    <w:p w14:paraId="7460EECA" w14:textId="77777777" w:rsidR="00B02B02" w:rsidRDefault="00000000">
      <w:r>
        <w:t>В отдельном абзаце сопоставьте свою ситуацию с кейсом GOV.UK. Укажите один переносимый принцип и одно ограничение аналогии. Не используйте масштаб опубликованного проекта как обоснование бюджета своего решения. При обращении к источникам фиксируйте дату, автора и вид свидетельства.</w:t>
      </w:r>
    </w:p>
    <w:p w14:paraId="45B5B73D" w14:textId="77777777" w:rsidR="00B02B02" w:rsidRDefault="00000000">
      <w:pPr>
        <w:pStyle w:val="21"/>
      </w:pPr>
      <w:r>
        <w:t>Критерии оценивания: 100 баллов</w:t>
      </w:r>
    </w:p>
    <w:p w14:paraId="674382BD" w14:textId="77777777" w:rsidR="00B02B02" w:rsidRDefault="00000000">
      <w:r>
        <w:t>Проблема и разграничение фактов/предположений — 25; проверяемая ценность — 25; согласованные границы и ответственность — 20; контрольные точки и ограничения — 20; ясность оформления и источников — 10. Количество функций само по себе не повышает оценку.</w:t>
      </w:r>
    </w:p>
    <w:p w14:paraId="23FB75DD" w14:textId="77777777" w:rsidR="00B02B02" w:rsidRDefault="00000000">
      <w:pPr>
        <w:pStyle w:val="21"/>
      </w:pPr>
      <w:r>
        <w:t>Вопросы с ответами-ориентирами</w:t>
      </w:r>
    </w:p>
    <w:p w14:paraId="00E553AA" w14:textId="77777777" w:rsidR="00B02B02" w:rsidRDefault="00000000">
      <w:r>
        <w:t>1. Почему запуск не равен успеху? Ориентир: запуск подтверждает поставку, а полезное изменение требует измерения после использования.</w:t>
      </w:r>
    </w:p>
    <w:p w14:paraId="78C752F5" w14:textId="77777777" w:rsidR="00B02B02" w:rsidRDefault="00000000">
      <w:r>
        <w:t>2. Может ли исследование завершиться без разработки? Ориентир: да, если проблема не подтверждена или решается более подходящим способом.</w:t>
      </w:r>
    </w:p>
    <w:p w14:paraId="11C675AC" w14:textId="77777777" w:rsidR="00B02B02" w:rsidRDefault="00000000">
      <w:r>
        <w:t>3. Почему экономию времени нельзя сразу назвать прибылью? Ориентир: нужно установить, как изменились реальные затраты или объем полезной работы.</w:t>
      </w:r>
    </w:p>
    <w:p w14:paraId="059CFF76" w14:textId="77777777" w:rsidR="00B02B02" w:rsidRDefault="00000000">
      <w:r>
        <w:t>4. Кто отвечает за сервис после проекта? Ориентир: заранее назначенный принимающий владелец; это не обязательно руководитель разработки.</w:t>
      </w:r>
    </w:p>
    <w:p w14:paraId="7300F947" w14:textId="77777777" w:rsidR="00B02B02" w:rsidRDefault="00000000">
      <w:pPr>
        <w:pStyle w:val="Callout"/>
        <w:pBdr>
          <w:left w:val="single" w:sz="16" w:space="8" w:color="246A73"/>
        </w:pBdr>
        <w:shd w:val="clear" w:color="auto" w:fill="EDF4F5"/>
      </w:pPr>
      <w:r>
        <w:t>Перед сдачей проверьте: каждое обещанное изменение связано с пользователем, показателем, источником данных и человеком, принимающим решение.</w:t>
      </w:r>
    </w:p>
    <w:p w14:paraId="07680777" w14:textId="77777777" w:rsidR="00B02B02" w:rsidRDefault="00000000">
      <w:r>
        <w:br w:type="page"/>
      </w:r>
    </w:p>
    <w:p w14:paraId="3CF31EA5" w14:textId="77777777" w:rsidR="00B02B02" w:rsidRDefault="00000000">
      <w:pPr>
        <w:pStyle w:val="1"/>
      </w:pPr>
      <w:r>
        <w:lastRenderedPageBreak/>
        <w:t>Итоги, понятия и источники</w:t>
      </w:r>
    </w:p>
    <w:p w14:paraId="55EB858B" w14:textId="77777777" w:rsidR="00B02B02" w:rsidRDefault="00000000">
      <w:r>
        <w:t>Управление начинается с согласования смысла проекта, а не с выбора программы для задач. Паспорт, контрольные точки и система показателей позволяют различить выполненную работу, изменение процесса и пользу. На следующей неделе эти предварительные формулировки будут проверяться через исследование реальных пользовательских ситуаций.</w:t>
      </w:r>
    </w:p>
    <w:p w14:paraId="476F0B06" w14:textId="77777777" w:rsidR="00B02B02" w:rsidRDefault="00000000">
      <w:pPr>
        <w:pStyle w:val="21"/>
      </w:pPr>
      <w:r>
        <w:t>Мини-глоссарий</w:t>
      </w:r>
    </w:p>
    <w:p w14:paraId="0A06C3BE" w14:textId="77777777" w:rsidR="00B02B02" w:rsidRDefault="00000000">
      <w:pPr>
        <w:spacing w:after="80"/>
      </w:pPr>
      <w:r>
        <w:rPr>
          <w:b/>
        </w:rPr>
        <w:t>Проект.</w:t>
      </w:r>
      <w:r>
        <w:t xml:space="preserve"> Ограниченная работа по созданию уникального результата.</w:t>
      </w:r>
    </w:p>
    <w:p w14:paraId="40900C57" w14:textId="77777777" w:rsidR="00B02B02" w:rsidRDefault="00000000">
      <w:pPr>
        <w:spacing w:after="80"/>
      </w:pPr>
      <w:r>
        <w:rPr>
          <w:b/>
        </w:rPr>
        <w:t>Продукт.</w:t>
      </w:r>
      <w:r>
        <w:t xml:space="preserve"> Развиваемое решение, переживающее отдельные проекты.</w:t>
      </w:r>
    </w:p>
    <w:p w14:paraId="713647E9" w14:textId="77777777" w:rsidR="00B02B02" w:rsidRDefault="00000000">
      <w:pPr>
        <w:spacing w:after="80"/>
      </w:pPr>
      <w:r>
        <w:rPr>
          <w:b/>
        </w:rPr>
        <w:t>Сервис.</w:t>
      </w:r>
      <w:r>
        <w:t xml:space="preserve"> Совокупность технологий, людей и правил, обеспечивающих результат.</w:t>
      </w:r>
    </w:p>
    <w:p w14:paraId="4A719B79" w14:textId="77777777" w:rsidR="00B02B02" w:rsidRDefault="00000000">
      <w:pPr>
        <w:spacing w:after="80"/>
      </w:pPr>
      <w:r>
        <w:rPr>
          <w:b/>
        </w:rPr>
        <w:t>Спонсор.</w:t>
      </w:r>
      <w:r>
        <w:t xml:space="preserve"> Участник, обеспечивающий полномочия и решения о ресурсах.</w:t>
      </w:r>
    </w:p>
    <w:p w14:paraId="0366451B" w14:textId="77777777" w:rsidR="00B02B02" w:rsidRDefault="00000000">
      <w:pPr>
        <w:spacing w:after="80"/>
      </w:pPr>
      <w:r>
        <w:rPr>
          <w:b/>
        </w:rPr>
        <w:t>Граница объема.</w:t>
      </w:r>
      <w:r>
        <w:t xml:space="preserve"> Согласованное различие между включенной и исключенной работой.</w:t>
      </w:r>
    </w:p>
    <w:p w14:paraId="0575CF9D" w14:textId="77777777" w:rsidR="00B02B02" w:rsidRDefault="00000000">
      <w:pPr>
        <w:spacing w:after="80"/>
      </w:pPr>
      <w:r>
        <w:rPr>
          <w:b/>
        </w:rPr>
        <w:t>Польза.</w:t>
      </w:r>
      <w:r>
        <w:t xml:space="preserve"> Значимое изменение, проверяемое после применения результата.</w:t>
      </w:r>
    </w:p>
    <w:p w14:paraId="13AA735C" w14:textId="0CC11CDE" w:rsidR="00B02B02" w:rsidRPr="00A4369F" w:rsidRDefault="00000000">
      <w:pPr>
        <w:pStyle w:val="21"/>
      </w:pPr>
      <w:r>
        <w:t>Источники</w:t>
      </w:r>
    </w:p>
    <w:p w14:paraId="0D18422D" w14:textId="77777777" w:rsidR="00B02B02" w:rsidRPr="00A4369F" w:rsidRDefault="00000000">
      <w:pPr>
        <w:spacing w:line="252" w:lineRule="auto"/>
        <w:rPr>
          <w:lang w:val="en-US"/>
        </w:rPr>
      </w:pPr>
      <w:r w:rsidRPr="00A4369F">
        <w:rPr>
          <w:rFonts w:ascii="Arial" w:eastAsia="Arial" w:hAnsi="Arial" w:cs="Arial"/>
          <w:color w:val="19354A"/>
          <w:sz w:val="21"/>
          <w:lang w:val="en-US"/>
        </w:rPr>
        <w:t xml:space="preserve">[1] </w:t>
      </w:r>
      <w:hyperlink r:id="rId8">
        <w:r w:rsidRPr="00A4369F">
          <w:rPr>
            <w:rFonts w:ascii="Arial" w:hAnsi="Arial"/>
            <w:color w:val="246A73"/>
            <w:sz w:val="21"/>
            <w:u w:val="single"/>
            <w:lang w:val="en-US"/>
          </w:rPr>
          <w:t>GDS. Why GOV.UK matters: A platform for a digital Government. 17.10.2012.</w:t>
        </w:r>
      </w:hyperlink>
      <w:r w:rsidRPr="00A4369F">
        <w:rPr>
          <w:rFonts w:ascii="Arial" w:eastAsia="Arial" w:hAnsi="Arial" w:cs="Arial"/>
          <w:color w:val="596772"/>
          <w:sz w:val="20"/>
          <w:lang w:val="en-US"/>
        </w:rPr>
        <w:t xml:space="preserve"> </w:t>
      </w:r>
      <w:r>
        <w:rPr>
          <w:rFonts w:ascii="Arial" w:eastAsia="Arial" w:hAnsi="Arial" w:cs="Arial"/>
          <w:color w:val="596772"/>
          <w:sz w:val="20"/>
        </w:rPr>
        <w:t>Исторический</w:t>
      </w:r>
      <w:r w:rsidRPr="00A4369F">
        <w:rPr>
          <w:rFonts w:ascii="Arial" w:eastAsia="Arial" w:hAnsi="Arial" w:cs="Arial"/>
          <w:color w:val="596772"/>
          <w:sz w:val="20"/>
          <w:lang w:val="en-US"/>
        </w:rPr>
        <w:t xml:space="preserve"> </w:t>
      </w:r>
      <w:r>
        <w:rPr>
          <w:rFonts w:ascii="Arial" w:eastAsia="Arial" w:hAnsi="Arial" w:cs="Arial"/>
          <w:color w:val="596772"/>
          <w:sz w:val="20"/>
        </w:rPr>
        <w:t>кейс</w:t>
      </w:r>
      <w:r w:rsidRPr="00A4369F">
        <w:rPr>
          <w:rFonts w:ascii="Arial" w:eastAsia="Arial" w:hAnsi="Arial" w:cs="Arial"/>
          <w:color w:val="596772"/>
          <w:sz w:val="20"/>
          <w:lang w:val="en-US"/>
        </w:rPr>
        <w:t xml:space="preserve"> </w:t>
      </w:r>
      <w:r>
        <w:rPr>
          <w:rFonts w:ascii="Arial" w:eastAsia="Arial" w:hAnsi="Arial" w:cs="Arial"/>
          <w:color w:val="596772"/>
          <w:sz w:val="20"/>
        </w:rPr>
        <w:t>запуска</w:t>
      </w:r>
      <w:r w:rsidRPr="00A4369F">
        <w:rPr>
          <w:rFonts w:ascii="Arial" w:eastAsia="Arial" w:hAnsi="Arial" w:cs="Arial"/>
          <w:color w:val="596772"/>
          <w:sz w:val="20"/>
          <w:lang w:val="en-US"/>
        </w:rPr>
        <w:t>.</w:t>
      </w:r>
    </w:p>
    <w:p w14:paraId="76AF8333" w14:textId="77777777" w:rsidR="00B02B02" w:rsidRPr="00A4369F" w:rsidRDefault="00000000">
      <w:pPr>
        <w:spacing w:line="252" w:lineRule="auto"/>
        <w:rPr>
          <w:lang w:val="en-US"/>
        </w:rPr>
      </w:pPr>
      <w:r w:rsidRPr="00A4369F">
        <w:rPr>
          <w:rFonts w:ascii="Arial" w:eastAsia="Arial" w:hAnsi="Arial" w:cs="Arial"/>
          <w:color w:val="19354A"/>
          <w:sz w:val="21"/>
          <w:lang w:val="en-US"/>
        </w:rPr>
        <w:t xml:space="preserve">[2] </w:t>
      </w:r>
      <w:hyperlink r:id="rId9">
        <w:r w:rsidRPr="00A4369F">
          <w:rPr>
            <w:rFonts w:ascii="Arial" w:hAnsi="Arial"/>
            <w:color w:val="246A73"/>
            <w:sz w:val="21"/>
            <w:u w:val="single"/>
            <w:lang w:val="en-US"/>
          </w:rPr>
          <w:t>PMI. What is a Project, Examples and the Project Lifecycle.</w:t>
        </w:r>
      </w:hyperlink>
      <w:r w:rsidRPr="00A4369F">
        <w:rPr>
          <w:rFonts w:ascii="Arial" w:eastAsia="Arial" w:hAnsi="Arial" w:cs="Arial"/>
          <w:color w:val="596772"/>
          <w:sz w:val="20"/>
          <w:lang w:val="en-US"/>
        </w:rPr>
        <w:t xml:space="preserve"> </w:t>
      </w:r>
      <w:r>
        <w:rPr>
          <w:rFonts w:ascii="Arial" w:eastAsia="Arial" w:hAnsi="Arial" w:cs="Arial"/>
          <w:color w:val="596772"/>
          <w:sz w:val="20"/>
        </w:rPr>
        <w:t>Понятие</w:t>
      </w:r>
      <w:r w:rsidRPr="00A4369F">
        <w:rPr>
          <w:rFonts w:ascii="Arial" w:eastAsia="Arial" w:hAnsi="Arial" w:cs="Arial"/>
          <w:color w:val="596772"/>
          <w:sz w:val="20"/>
          <w:lang w:val="en-US"/>
        </w:rPr>
        <w:t xml:space="preserve"> </w:t>
      </w:r>
      <w:r>
        <w:rPr>
          <w:rFonts w:ascii="Arial" w:eastAsia="Arial" w:hAnsi="Arial" w:cs="Arial"/>
          <w:color w:val="596772"/>
          <w:sz w:val="20"/>
        </w:rPr>
        <w:t>проекта</w:t>
      </w:r>
      <w:r w:rsidRPr="00A4369F">
        <w:rPr>
          <w:rFonts w:ascii="Arial" w:eastAsia="Arial" w:hAnsi="Arial" w:cs="Arial"/>
          <w:color w:val="596772"/>
          <w:sz w:val="20"/>
          <w:lang w:val="en-US"/>
        </w:rPr>
        <w:t>.</w:t>
      </w:r>
    </w:p>
    <w:p w14:paraId="464926F9" w14:textId="77777777" w:rsidR="00B02B02" w:rsidRDefault="00000000">
      <w:pPr>
        <w:spacing w:line="252" w:lineRule="auto"/>
      </w:pPr>
      <w:r w:rsidRPr="00A4369F">
        <w:rPr>
          <w:rFonts w:ascii="Arial" w:eastAsia="Arial" w:hAnsi="Arial" w:cs="Arial"/>
          <w:color w:val="19354A"/>
          <w:sz w:val="21"/>
          <w:lang w:val="en-US"/>
        </w:rPr>
        <w:t xml:space="preserve">[3] </w:t>
      </w:r>
      <w:hyperlink r:id="rId10">
        <w:r w:rsidRPr="00A4369F">
          <w:rPr>
            <w:rFonts w:ascii="Arial" w:hAnsi="Arial"/>
            <w:color w:val="246A73"/>
            <w:sz w:val="21"/>
            <w:u w:val="single"/>
            <w:lang w:val="en-US"/>
          </w:rPr>
          <w:t>GOV.UK Service Manual. How the discovery phase works.</w:t>
        </w:r>
      </w:hyperlink>
      <w:r w:rsidRPr="00A4369F">
        <w:rPr>
          <w:rFonts w:ascii="Arial" w:eastAsia="Arial" w:hAnsi="Arial" w:cs="Arial"/>
          <w:color w:val="596772"/>
          <w:sz w:val="20"/>
          <w:lang w:val="en-US"/>
        </w:rPr>
        <w:t xml:space="preserve"> </w:t>
      </w:r>
      <w:r>
        <w:rPr>
          <w:rFonts w:ascii="Arial" w:eastAsia="Arial" w:hAnsi="Arial" w:cs="Arial"/>
          <w:color w:val="596772"/>
          <w:sz w:val="20"/>
        </w:rPr>
        <w:t>Исследование до разработки.</w:t>
      </w:r>
    </w:p>
    <w:p w14:paraId="7BC7ADB9" w14:textId="77FCC74F" w:rsidR="00B02B02" w:rsidRDefault="00B02B02" w:rsidP="00A4369F"/>
    <w:sectPr w:rsidR="00B02B02" w:rsidSect="00034616">
      <w:headerReference w:type="default" r:id="rId11"/>
      <w:footerReference w:type="default" r:id="rId12"/>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C5BD" w14:textId="77777777" w:rsidR="00CB7F7D" w:rsidRDefault="00CB7F7D">
      <w:pPr>
        <w:spacing w:after="0" w:line="240" w:lineRule="auto"/>
      </w:pPr>
      <w:r>
        <w:separator/>
      </w:r>
    </w:p>
  </w:endnote>
  <w:endnote w:type="continuationSeparator" w:id="0">
    <w:p w14:paraId="5D0E5343" w14:textId="77777777" w:rsidR="00CB7F7D" w:rsidRDefault="00CB7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FD26" w14:textId="7B794FF1" w:rsidR="00B02B02" w:rsidRDefault="00B02B02">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3BFB6" w14:textId="77777777" w:rsidR="00CB7F7D" w:rsidRDefault="00CB7F7D">
      <w:pPr>
        <w:spacing w:after="0" w:line="240" w:lineRule="auto"/>
      </w:pPr>
      <w:r>
        <w:separator/>
      </w:r>
    </w:p>
  </w:footnote>
  <w:footnote w:type="continuationSeparator" w:id="0">
    <w:p w14:paraId="18143390" w14:textId="77777777" w:rsidR="00CB7F7D" w:rsidRDefault="00CB7F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9A7F" w14:textId="2E4269E3" w:rsidR="00B02B02" w:rsidRDefault="00B02B02">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49776384">
    <w:abstractNumId w:val="8"/>
  </w:num>
  <w:num w:numId="2" w16cid:durableId="910115986">
    <w:abstractNumId w:val="6"/>
  </w:num>
  <w:num w:numId="3" w16cid:durableId="1386686805">
    <w:abstractNumId w:val="5"/>
  </w:num>
  <w:num w:numId="4" w16cid:durableId="348878039">
    <w:abstractNumId w:val="4"/>
  </w:num>
  <w:num w:numId="5" w16cid:durableId="1016540849">
    <w:abstractNumId w:val="7"/>
  </w:num>
  <w:num w:numId="6" w16cid:durableId="1150906344">
    <w:abstractNumId w:val="3"/>
  </w:num>
  <w:num w:numId="7" w16cid:durableId="572391860">
    <w:abstractNumId w:val="2"/>
  </w:num>
  <w:num w:numId="8" w16cid:durableId="781607059">
    <w:abstractNumId w:val="1"/>
  </w:num>
  <w:num w:numId="9" w16cid:durableId="43213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5611"/>
    <w:rsid w:val="00A4369F"/>
    <w:rsid w:val="00AA1D8D"/>
    <w:rsid w:val="00B02B02"/>
    <w:rsid w:val="00B47730"/>
    <w:rsid w:val="00CB0664"/>
    <w:rsid w:val="00CB7F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E9D9CE"/>
  <w14:defaultImageDpi w14:val="300"/>
  <w15:docId w15:val="{E16309B2-7C5A-4959-AB1D-6C048B18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ds.blog.gov.uk/2012/10/17/why-gov-uk-matte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uk/service-manual/agile-delivery/how-the-discovery-phase-works" TargetMode="External"/><Relationship Id="rId4" Type="http://schemas.openxmlformats.org/officeDocument/2006/relationships/settings" Target="settings.xml"/><Relationship Id="rId9" Type="http://schemas.openxmlformats.org/officeDocument/2006/relationships/hyperlink" Target="https://www.pmi.org/about/what-is-a-projec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1826</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Цифровой проект: ценность, жизненный цикл и критерии успеха</dc:title>
  <dc:subject>Управление цифровыми проектами — лекция 1</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2026-09-28T14:57:00Z</dcterms:modified>
  <cp:category/>
  <dc:language>ru-RU</dc:language>
</cp:coreProperties>
</file>