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2AD15" w14:textId="77777777" w:rsidR="00EA6AD5" w:rsidRDefault="00000000">
      <w:pPr>
        <w:pStyle w:val="aa"/>
      </w:pPr>
      <w:r>
        <w:t>Технический SEO-аудит: дубли, canonical, редиректы и миграции</w:t>
      </w:r>
    </w:p>
    <w:p w14:paraId="4FB6D625" w14:textId="77777777" w:rsidR="00EA6AD5" w:rsidRDefault="00000000">
      <w:pPr>
        <w:pStyle w:val="Small"/>
      </w:pPr>
      <w:r>
        <w:t>Лекция 6 • Неделя 6 • Курс «Поисковая оптимизация и маркетинг»</w:t>
      </w:r>
    </w:p>
    <w:p w14:paraId="34422947" w14:textId="77777777" w:rsidR="00EA6AD5" w:rsidRDefault="00000000">
      <w:pPr>
        <w:pStyle w:val="21"/>
        <w:spacing w:before="0"/>
      </w:pPr>
      <w:r>
        <w:t>Вопросы темы</w:t>
      </w:r>
    </w:p>
    <w:p w14:paraId="6936487B" w14:textId="77777777" w:rsidR="00EA6AD5" w:rsidRDefault="00000000">
      <w:pPr>
        <w:pStyle w:val="Question"/>
      </w:pPr>
      <w:r>
        <w:t>1. Как отличить дублирование, техническую ошибку и обоснованную вариацию товара?</w:t>
      </w:r>
    </w:p>
    <w:p w14:paraId="62877FA8" w14:textId="77777777" w:rsidR="00EA6AD5" w:rsidRDefault="00000000">
      <w:pPr>
        <w:pStyle w:val="Question"/>
      </w:pPr>
      <w:r>
        <w:t>2. Чем различаются canonical, перенаправление и исключение из индекса?</w:t>
      </w:r>
    </w:p>
    <w:p w14:paraId="03393C3B" w14:textId="77777777" w:rsidR="00EA6AD5" w:rsidRDefault="00000000">
      <w:pPr>
        <w:pStyle w:val="Question"/>
      </w:pPr>
      <w:r>
        <w:t>3. Как приоритизировать проблемы по последствиям и масштабу?</w:t>
      </w:r>
    </w:p>
    <w:p w14:paraId="45C86200" w14:textId="77777777" w:rsidR="00EA6AD5" w:rsidRDefault="00000000">
      <w:pPr>
        <w:pStyle w:val="Question"/>
      </w:pPr>
      <w:r>
        <w:t>4. Что показывает реальный тест canonical для вариантов товара?</w:t>
      </w:r>
    </w:p>
    <w:p w14:paraId="3364672E" w14:textId="77777777" w:rsidR="00EA6AD5" w:rsidRDefault="00000000">
      <w:pPr>
        <w:pStyle w:val="Question"/>
      </w:pPr>
      <w:r>
        <w:t>5. Как подготовить безопасную миграцию и критерии приемки?</w:t>
      </w:r>
    </w:p>
    <w:p w14:paraId="2DD71DA3" w14:textId="77777777" w:rsidR="00EA6AD5" w:rsidRDefault="00000000">
      <w:pPr>
        <w:pStyle w:val="21"/>
      </w:pPr>
      <w:r>
        <w:t>Технический аудит как проверка гипотез о препятствиях</w:t>
      </w:r>
    </w:p>
    <w:p w14:paraId="3098CC75" w14:textId="77777777" w:rsidR="00EA6AD5" w:rsidRDefault="00000000">
      <w:pPr>
        <w:pStyle w:val="FirstBody"/>
      </w:pPr>
      <w:r>
        <w:t>Аудит не должен превращаться в соревнование по количеству найденных предупреждений. Его задача — установить, что мешает важным страницам работать, кому это вредит и какое исправление можно проверить. Одинаковое техническое сообщение может иметь разный приоритет для карточки популярного товара и неиспользуемого служебного адреса.</w:t>
      </w:r>
    </w:p>
    <w:p w14:paraId="70E880F6" w14:textId="77777777" w:rsidR="00EA6AD5" w:rsidRDefault="00000000">
      <w:pPr>
        <w:pStyle w:val="FirstBody"/>
      </w:pPr>
      <w:r>
        <w:t>Начните с инвентаризации: какие шаблоны существуют, какие адреса должны оставаться публичными, какие версии считаются основными, что недавно менялось. Затем выбирают контрольные примеры. Без такого контекста легко объявить любой параметр дублем или объединить страницы, которые отвечают разным задачам.</w:t>
      </w:r>
    </w:p>
    <w:p w14:paraId="2B8A99D7" w14:textId="77777777" w:rsidR="00EA6AD5" w:rsidRDefault="00000000">
      <w:pPr>
        <w:pStyle w:val="1"/>
        <w:pageBreakBefore/>
      </w:pPr>
      <w:r>
        <w:lastRenderedPageBreak/>
        <w:t xml:space="preserve">Выбор инструмента: </w:t>
      </w:r>
      <w:proofErr w:type="spellStart"/>
      <w:r>
        <w:t>canonical</w:t>
      </w:r>
      <w:proofErr w:type="spellEnd"/>
      <w:r>
        <w:t xml:space="preserve">, </w:t>
      </w:r>
      <w:proofErr w:type="spellStart"/>
      <w:r>
        <w:t>redirect</w:t>
      </w:r>
      <w:proofErr w:type="spellEnd"/>
      <w:r>
        <w:t xml:space="preserve"> или отдельная страница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EA6AD5" w14:paraId="49EC8864" w14:textId="77777777">
        <w:trPr>
          <w:cantSplit/>
          <w:tblHeader/>
          <w:jc w:val="center"/>
        </w:trPr>
        <w:tc>
          <w:tcPr>
            <w:tcW w:w="2948" w:type="dxa"/>
            <w:shd w:val="clear" w:color="auto" w:fill="17394A"/>
            <w:tcMar>
              <w:top w:w="75" w:type="dxa"/>
              <w:left w:w="85" w:type="dxa"/>
              <w:bottom w:w="70" w:type="dxa"/>
              <w:right w:w="85" w:type="dxa"/>
            </w:tcMar>
            <w:vAlign w:val="center"/>
          </w:tcPr>
          <w:p w14:paraId="7F3CA4D8" w14:textId="77777777" w:rsidR="00EA6AD5" w:rsidRDefault="00000000">
            <w:pPr>
              <w:pStyle w:val="TableText"/>
              <w:keepNext/>
            </w:pPr>
            <w:r>
              <w:rPr>
                <w:b/>
                <w:color w:val="FFFFFF"/>
              </w:rPr>
              <w:t>Ситуация</w:t>
            </w:r>
          </w:p>
        </w:tc>
        <w:tc>
          <w:tcPr>
            <w:tcW w:w="3402" w:type="dxa"/>
            <w:shd w:val="clear" w:color="auto" w:fill="17394A"/>
            <w:tcMar>
              <w:top w:w="75" w:type="dxa"/>
              <w:left w:w="85" w:type="dxa"/>
              <w:bottom w:w="70" w:type="dxa"/>
              <w:right w:w="85" w:type="dxa"/>
            </w:tcMar>
            <w:vAlign w:val="center"/>
          </w:tcPr>
          <w:p w14:paraId="548CE735" w14:textId="77777777" w:rsidR="00EA6AD5" w:rsidRDefault="00000000">
            <w:pPr>
              <w:pStyle w:val="TableText"/>
              <w:keepNext/>
            </w:pPr>
            <w:r>
              <w:rPr>
                <w:b/>
                <w:color w:val="FFFFFF"/>
              </w:rPr>
              <w:t>Возможное решение</w:t>
            </w:r>
          </w:p>
        </w:tc>
        <w:tc>
          <w:tcPr>
            <w:tcW w:w="3402" w:type="dxa"/>
            <w:shd w:val="clear" w:color="auto" w:fill="17394A"/>
            <w:tcMar>
              <w:top w:w="75" w:type="dxa"/>
              <w:left w:w="85" w:type="dxa"/>
              <w:bottom w:w="70" w:type="dxa"/>
              <w:right w:w="85" w:type="dxa"/>
            </w:tcMar>
            <w:vAlign w:val="center"/>
          </w:tcPr>
          <w:p w14:paraId="3C8EB618" w14:textId="77777777" w:rsidR="00EA6AD5" w:rsidRDefault="00000000">
            <w:pPr>
              <w:pStyle w:val="TableText"/>
              <w:keepNext/>
            </w:pPr>
            <w:r>
              <w:rPr>
                <w:b/>
                <w:color w:val="FFFFFF"/>
              </w:rPr>
              <w:t>Ключевая проверка</w:t>
            </w:r>
          </w:p>
        </w:tc>
      </w:tr>
      <w:tr w:rsidR="00EA6AD5" w14:paraId="1784293A" w14:textId="77777777">
        <w:trPr>
          <w:cantSplit/>
          <w:jc w:val="center"/>
        </w:trPr>
        <w:tc>
          <w:tcPr>
            <w:tcW w:w="2948" w:type="dxa"/>
            <w:shd w:val="clear" w:color="auto" w:fill="F3F5F7"/>
            <w:tcMar>
              <w:top w:w="75" w:type="dxa"/>
              <w:left w:w="85" w:type="dxa"/>
              <w:bottom w:w="70" w:type="dxa"/>
              <w:right w:w="85" w:type="dxa"/>
            </w:tcMar>
            <w:vAlign w:val="center"/>
          </w:tcPr>
          <w:p w14:paraId="12393DB8" w14:textId="77777777" w:rsidR="00EA6AD5" w:rsidRDefault="00000000">
            <w:pPr>
              <w:pStyle w:val="TableText"/>
            </w:pPr>
            <w:r>
              <w:rPr>
                <w:color w:val="263B43"/>
              </w:rPr>
              <w:t>Один документ с рекламной меткой</w:t>
            </w:r>
          </w:p>
        </w:tc>
        <w:tc>
          <w:tcPr>
            <w:tcW w:w="3402" w:type="dxa"/>
            <w:shd w:val="clear" w:color="auto" w:fill="F3F5F7"/>
            <w:tcMar>
              <w:top w:w="75" w:type="dxa"/>
              <w:left w:w="85" w:type="dxa"/>
              <w:bottom w:w="70" w:type="dxa"/>
              <w:right w:w="85" w:type="dxa"/>
            </w:tcMar>
            <w:vAlign w:val="center"/>
          </w:tcPr>
          <w:p w14:paraId="39018A12" w14:textId="77777777" w:rsidR="00EA6AD5" w:rsidRDefault="00000000">
            <w:pPr>
              <w:pStyle w:val="TableText"/>
            </w:pPr>
            <w:r>
              <w:rPr>
                <w:color w:val="263B43"/>
              </w:rPr>
              <w:t>Согласованная основная версия</w:t>
            </w:r>
          </w:p>
        </w:tc>
        <w:tc>
          <w:tcPr>
            <w:tcW w:w="3402" w:type="dxa"/>
            <w:shd w:val="clear" w:color="auto" w:fill="F3F5F7"/>
            <w:tcMar>
              <w:top w:w="75" w:type="dxa"/>
              <w:left w:w="85" w:type="dxa"/>
              <w:bottom w:w="70" w:type="dxa"/>
              <w:right w:w="85" w:type="dxa"/>
            </w:tcMar>
            <w:vAlign w:val="center"/>
          </w:tcPr>
          <w:p w14:paraId="0B1AA04C" w14:textId="77777777" w:rsidR="00EA6AD5" w:rsidRDefault="00000000">
            <w:pPr>
              <w:pStyle w:val="TableText"/>
            </w:pPr>
            <w:r>
              <w:rPr>
                <w:color w:val="263B43"/>
              </w:rPr>
              <w:t>Не потеряно измерение рекламного перехода</w:t>
            </w:r>
          </w:p>
        </w:tc>
      </w:tr>
      <w:tr w:rsidR="00EA6AD5" w14:paraId="38F37E65" w14:textId="77777777">
        <w:trPr>
          <w:cantSplit/>
          <w:jc w:val="center"/>
        </w:trPr>
        <w:tc>
          <w:tcPr>
            <w:tcW w:w="2948" w:type="dxa"/>
            <w:shd w:val="clear" w:color="auto" w:fill="FFFFFF"/>
            <w:tcMar>
              <w:top w:w="75" w:type="dxa"/>
              <w:left w:w="85" w:type="dxa"/>
              <w:bottom w:w="70" w:type="dxa"/>
              <w:right w:w="85" w:type="dxa"/>
            </w:tcMar>
            <w:vAlign w:val="center"/>
          </w:tcPr>
          <w:p w14:paraId="442E5097" w14:textId="77777777" w:rsidR="00EA6AD5" w:rsidRDefault="00000000">
            <w:pPr>
              <w:pStyle w:val="TableText"/>
            </w:pPr>
            <w:r>
              <w:rPr>
                <w:color w:val="263B43"/>
              </w:rPr>
              <w:t>Адрес окончательно переехал</w:t>
            </w:r>
          </w:p>
        </w:tc>
        <w:tc>
          <w:tcPr>
            <w:tcW w:w="3402" w:type="dxa"/>
            <w:shd w:val="clear" w:color="auto" w:fill="FFFFFF"/>
            <w:tcMar>
              <w:top w:w="75" w:type="dxa"/>
              <w:left w:w="85" w:type="dxa"/>
              <w:bottom w:w="70" w:type="dxa"/>
              <w:right w:w="85" w:type="dxa"/>
            </w:tcMar>
            <w:vAlign w:val="center"/>
          </w:tcPr>
          <w:p w14:paraId="3FD68560" w14:textId="77777777" w:rsidR="00EA6AD5" w:rsidRDefault="00000000">
            <w:pPr>
              <w:pStyle w:val="TableText"/>
            </w:pPr>
            <w:r>
              <w:rPr>
                <w:color w:val="263B43"/>
              </w:rPr>
              <w:t>Серверное постоянное перенаправление</w:t>
            </w:r>
          </w:p>
        </w:tc>
        <w:tc>
          <w:tcPr>
            <w:tcW w:w="3402" w:type="dxa"/>
            <w:shd w:val="clear" w:color="auto" w:fill="FFFFFF"/>
            <w:tcMar>
              <w:top w:w="75" w:type="dxa"/>
              <w:left w:w="85" w:type="dxa"/>
              <w:bottom w:w="70" w:type="dxa"/>
              <w:right w:w="85" w:type="dxa"/>
            </w:tcMar>
            <w:vAlign w:val="center"/>
          </w:tcPr>
          <w:p w14:paraId="23C78985" w14:textId="77777777" w:rsidR="00EA6AD5" w:rsidRDefault="00000000">
            <w:pPr>
              <w:pStyle w:val="TableText"/>
            </w:pPr>
            <w:r>
              <w:rPr>
                <w:color w:val="263B43"/>
              </w:rPr>
              <w:t>Новая страница соответствует старой задаче</w:t>
            </w:r>
          </w:p>
        </w:tc>
      </w:tr>
      <w:tr w:rsidR="00EA6AD5" w14:paraId="7C2FE8A9" w14:textId="77777777">
        <w:trPr>
          <w:cantSplit/>
          <w:jc w:val="center"/>
        </w:trPr>
        <w:tc>
          <w:tcPr>
            <w:tcW w:w="2948" w:type="dxa"/>
            <w:shd w:val="clear" w:color="auto" w:fill="F3F5F7"/>
            <w:tcMar>
              <w:top w:w="75" w:type="dxa"/>
              <w:left w:w="85" w:type="dxa"/>
              <w:bottom w:w="70" w:type="dxa"/>
              <w:right w:w="85" w:type="dxa"/>
            </w:tcMar>
            <w:vAlign w:val="center"/>
          </w:tcPr>
          <w:p w14:paraId="7044C2AD" w14:textId="77777777" w:rsidR="00EA6AD5" w:rsidRDefault="00000000">
            <w:pPr>
              <w:pStyle w:val="TableText"/>
            </w:pPr>
            <w:r>
              <w:rPr>
                <w:color w:val="263B43"/>
              </w:rPr>
              <w:t>Вариант товара имеет особые условия</w:t>
            </w:r>
          </w:p>
        </w:tc>
        <w:tc>
          <w:tcPr>
            <w:tcW w:w="3402" w:type="dxa"/>
            <w:shd w:val="clear" w:color="auto" w:fill="F3F5F7"/>
            <w:tcMar>
              <w:top w:w="75" w:type="dxa"/>
              <w:left w:w="85" w:type="dxa"/>
              <w:bottom w:w="70" w:type="dxa"/>
              <w:right w:w="85" w:type="dxa"/>
            </w:tcMar>
            <w:vAlign w:val="center"/>
          </w:tcPr>
          <w:p w14:paraId="18ED6CD2" w14:textId="77777777" w:rsidR="00EA6AD5" w:rsidRDefault="00000000">
            <w:pPr>
              <w:pStyle w:val="TableText"/>
            </w:pPr>
            <w:r>
              <w:rPr>
                <w:color w:val="263B43"/>
              </w:rPr>
              <w:t>Самостоятельная страница при обосновании</w:t>
            </w:r>
          </w:p>
        </w:tc>
        <w:tc>
          <w:tcPr>
            <w:tcW w:w="3402" w:type="dxa"/>
            <w:shd w:val="clear" w:color="auto" w:fill="F3F5F7"/>
            <w:tcMar>
              <w:top w:w="75" w:type="dxa"/>
              <w:left w:w="85" w:type="dxa"/>
              <w:bottom w:w="70" w:type="dxa"/>
              <w:right w:w="85" w:type="dxa"/>
            </w:tcMar>
            <w:vAlign w:val="center"/>
          </w:tcPr>
          <w:p w14:paraId="6774856F" w14:textId="77777777" w:rsidR="00EA6AD5" w:rsidRDefault="00000000">
            <w:pPr>
              <w:pStyle w:val="TableText"/>
            </w:pPr>
            <w:r>
              <w:rPr>
                <w:color w:val="263B43"/>
              </w:rPr>
              <w:t>Содержание, наличие и навигация различимы</w:t>
            </w:r>
          </w:p>
        </w:tc>
      </w:tr>
      <w:tr w:rsidR="00EA6AD5" w14:paraId="5801DE4C" w14:textId="77777777">
        <w:trPr>
          <w:cantSplit/>
          <w:jc w:val="center"/>
        </w:trPr>
        <w:tc>
          <w:tcPr>
            <w:tcW w:w="2948" w:type="dxa"/>
            <w:shd w:val="clear" w:color="auto" w:fill="FFFFFF"/>
            <w:tcMar>
              <w:top w:w="75" w:type="dxa"/>
              <w:left w:w="85" w:type="dxa"/>
              <w:bottom w:w="70" w:type="dxa"/>
              <w:right w:w="85" w:type="dxa"/>
            </w:tcMar>
            <w:vAlign w:val="center"/>
          </w:tcPr>
          <w:p w14:paraId="54FD8677" w14:textId="77777777" w:rsidR="00EA6AD5" w:rsidRDefault="00000000">
            <w:pPr>
              <w:pStyle w:val="TableText"/>
            </w:pPr>
            <w:r>
              <w:rPr>
                <w:color w:val="263B43"/>
              </w:rPr>
              <w:t>Закрытые сведения</w:t>
            </w:r>
          </w:p>
        </w:tc>
        <w:tc>
          <w:tcPr>
            <w:tcW w:w="3402" w:type="dxa"/>
            <w:shd w:val="clear" w:color="auto" w:fill="FFFFFF"/>
            <w:tcMar>
              <w:top w:w="75" w:type="dxa"/>
              <w:left w:w="85" w:type="dxa"/>
              <w:bottom w:w="70" w:type="dxa"/>
              <w:right w:w="85" w:type="dxa"/>
            </w:tcMar>
            <w:vAlign w:val="center"/>
          </w:tcPr>
          <w:p w14:paraId="1D1C72CD" w14:textId="77777777" w:rsidR="00EA6AD5" w:rsidRDefault="00000000">
            <w:pPr>
              <w:pStyle w:val="TableText"/>
            </w:pPr>
            <w:r>
              <w:rPr>
                <w:color w:val="263B43"/>
              </w:rPr>
              <w:t>Ограничение фактического доступа</w:t>
            </w:r>
          </w:p>
        </w:tc>
        <w:tc>
          <w:tcPr>
            <w:tcW w:w="3402" w:type="dxa"/>
            <w:shd w:val="clear" w:color="auto" w:fill="FFFFFF"/>
            <w:tcMar>
              <w:top w:w="75" w:type="dxa"/>
              <w:left w:w="85" w:type="dxa"/>
              <w:bottom w:w="70" w:type="dxa"/>
              <w:right w:w="85" w:type="dxa"/>
            </w:tcMar>
            <w:vAlign w:val="center"/>
          </w:tcPr>
          <w:p w14:paraId="676CE7B4" w14:textId="77777777" w:rsidR="00EA6AD5" w:rsidRDefault="00000000">
            <w:pPr>
              <w:pStyle w:val="TableText"/>
            </w:pPr>
            <w:r>
              <w:rPr>
                <w:color w:val="263B43"/>
              </w:rPr>
              <w:t>Не используется только noindex</w:t>
            </w:r>
          </w:p>
        </w:tc>
      </w:tr>
      <w:tr w:rsidR="00EA6AD5" w14:paraId="2F126BCC" w14:textId="77777777">
        <w:trPr>
          <w:cantSplit/>
          <w:jc w:val="center"/>
        </w:trPr>
        <w:tc>
          <w:tcPr>
            <w:tcW w:w="2948" w:type="dxa"/>
            <w:shd w:val="clear" w:color="auto" w:fill="F3F5F7"/>
            <w:tcMar>
              <w:top w:w="75" w:type="dxa"/>
              <w:left w:w="85" w:type="dxa"/>
              <w:bottom w:w="70" w:type="dxa"/>
              <w:right w:w="85" w:type="dxa"/>
            </w:tcMar>
            <w:vAlign w:val="center"/>
          </w:tcPr>
          <w:p w14:paraId="5AB9F7C1" w14:textId="77777777" w:rsidR="00EA6AD5" w:rsidRDefault="00000000">
            <w:pPr>
              <w:pStyle w:val="TableText"/>
            </w:pPr>
            <w:r>
              <w:rPr>
                <w:color w:val="263B43"/>
              </w:rPr>
              <w:t>Удаленный материал без замены</w:t>
            </w:r>
          </w:p>
        </w:tc>
        <w:tc>
          <w:tcPr>
            <w:tcW w:w="3402" w:type="dxa"/>
            <w:shd w:val="clear" w:color="auto" w:fill="F3F5F7"/>
            <w:tcMar>
              <w:top w:w="75" w:type="dxa"/>
              <w:left w:w="85" w:type="dxa"/>
              <w:bottom w:w="70" w:type="dxa"/>
              <w:right w:w="85" w:type="dxa"/>
            </w:tcMar>
            <w:vAlign w:val="center"/>
          </w:tcPr>
          <w:p w14:paraId="2B628167" w14:textId="77777777" w:rsidR="00EA6AD5" w:rsidRDefault="00000000">
            <w:pPr>
              <w:pStyle w:val="TableText"/>
            </w:pPr>
            <w:r>
              <w:rPr>
                <w:color w:val="263B43"/>
              </w:rPr>
              <w:t>Корректное сообщение об отсутствии</w:t>
            </w:r>
          </w:p>
        </w:tc>
        <w:tc>
          <w:tcPr>
            <w:tcW w:w="3402" w:type="dxa"/>
            <w:shd w:val="clear" w:color="auto" w:fill="F3F5F7"/>
            <w:tcMar>
              <w:top w:w="75" w:type="dxa"/>
              <w:left w:w="85" w:type="dxa"/>
              <w:bottom w:w="70" w:type="dxa"/>
              <w:right w:w="85" w:type="dxa"/>
            </w:tcMar>
            <w:vAlign w:val="center"/>
          </w:tcPr>
          <w:p w14:paraId="7D0B2188" w14:textId="77777777" w:rsidR="00EA6AD5" w:rsidRDefault="00000000">
            <w:pPr>
              <w:pStyle w:val="TableText"/>
            </w:pPr>
            <w:r>
              <w:rPr>
                <w:color w:val="263B43"/>
              </w:rPr>
              <w:t>Нет массового перенаправления на главную</w:t>
            </w:r>
          </w:p>
        </w:tc>
      </w:tr>
    </w:tbl>
    <w:p w14:paraId="70BE41A8" w14:textId="77777777" w:rsidR="00EA6AD5" w:rsidRDefault="00EA6AD5">
      <w:pPr>
        <w:spacing w:after="20" w:line="60" w:lineRule="exact"/>
      </w:pPr>
    </w:p>
    <w:p w14:paraId="4DE9ADFC" w14:textId="77777777" w:rsidR="00EA6AD5" w:rsidRDefault="00000000">
      <w:r>
        <w:t>Google рассматривает перенаправления и rel="canonical" как сильные сигналы канонизации, а sitemap — как более слабый. При этом противоречащие указания затрудняют понимание: внутренняя ссылка ведет к А, карта — к Б, canonical — к В. Технический план должен согласовывать сигналы, а не просто добавлять еще один тег [2].</w:t>
      </w:r>
    </w:p>
    <w:p w14:paraId="18C48261" w14:textId="77777777" w:rsidR="00EA6AD5" w:rsidRDefault="00000000">
      <w:pPr>
        <w:pStyle w:val="CodeBlock"/>
        <w:keepLines/>
        <w:shd w:val="clear" w:color="auto" w:fill="F0F3F6"/>
      </w:pPr>
      <w:r>
        <w:t>&lt;!-- Авторский пример для двух версий одного документа --&gt;</w:t>
      </w:r>
      <w:r>
        <w:br/>
        <w:t>&lt;link rel="canonical" href="https://shop.example/products/lamp/"&gt;</w:t>
      </w:r>
    </w:p>
    <w:p w14:paraId="45CA70F2" w14:textId="77777777" w:rsidR="00EA6AD5" w:rsidRDefault="00000000">
      <w:r>
        <w:t>Пример не является универсальной инструкцией для всех вариантов товара. Если цвет или размер имеют собственный спрос и содержательно самостоятельную страницу, решение требует отдельного анализа. Также нельзя направлять разные по смыслу документы на один canonical лишь потому, что хотелось бы усилить главную страницу.</w:t>
      </w:r>
    </w:p>
    <w:p w14:paraId="025BC61D" w14:textId="77777777" w:rsidR="00EA6AD5" w:rsidRDefault="00000000">
      <w:r>
        <w:t>При постоянном переезде Google рекомендует перенаправления на соответствующие новые URL, обновление внутренних ссылок и карт. Не следует без основания отправлять все старые адреса на главную: она может не удовлетворять исходный запрос [3]. Правильная карта сопоставляет назначение документов, а не только совпадение слов.</w:t>
      </w:r>
    </w:p>
    <w:p w14:paraId="15CC03FB" w14:textId="77777777" w:rsidR="00EA6AD5" w:rsidRDefault="00000000">
      <w:r>
        <w:t>Для приоритизации используйте масштаб, важность, уверенность и стоимость. «Массовая ошибка подтверждена на шаблоне ключевых товаров» отличается от «одна спорная метка обнаружена на архивном документе». Баллы полезны только вместе с объяснением; произвольная сумма не превращает гипотезу в доказанный диагноз.</w:t>
      </w:r>
    </w:p>
    <w:p w14:paraId="4EC16590" w14:textId="77777777" w:rsidR="00EA6AD5" w:rsidRDefault="00000000">
      <w:pPr>
        <w:pStyle w:val="1"/>
        <w:pageBreakBefore/>
      </w:pPr>
      <w:r>
        <w:lastRenderedPageBreak/>
        <w:t>Реальный кейс: canonical на конкретную вариацию товара</w:t>
      </w:r>
    </w:p>
    <w:p w14:paraId="6C622AB0" w14:textId="77777777" w:rsidR="00EA6AD5" w:rsidRDefault="00000000">
      <w:r>
        <w:t>Досье источника. SearchPilot 18 января 2024 года описал эксперимент неназванного интернет-магазина. У основных товарных страниц canonical изменили с самоссылки на адрес основной конкретной вариации. Отдельно наблюдали общие карточки и вариации. Для вариаций оценка органического трафика выросла на 22%; для основных страниц результат был неоднозначным, без выявленного отрицательного эффекта [1].</w:t>
      </w:r>
    </w:p>
    <w:p w14:paraId="0D0C98ED" w14:textId="77777777" w:rsidR="00EA6AD5" w:rsidRDefault="00000000">
      <w:r>
        <w:t>Смысл кейса — показать, что работа с дублями зависит от архитектуры. Нельзя превратить его в правило «всегда направлять общий товар на параметр». На другом сайте общая карточка может быть наиболее полноценным ответом, а отдельная вариация — временно недоступной. Решение требует исследования содержания и пользовательского маршрута.</w:t>
      </w:r>
    </w:p>
    <w:p w14:paraId="375380A8" w14:textId="77777777" w:rsidR="00EA6AD5" w:rsidRDefault="00000000">
      <w:pPr>
        <w:pStyle w:val="21"/>
      </w:pPr>
      <w:r>
        <w:t>Учебный разбор решения</w:t>
      </w:r>
    </w:p>
    <w:p w14:paraId="197B8E97" w14:textId="77777777" w:rsidR="00EA6AD5" w:rsidRDefault="00000000">
      <w:r>
        <w:t>До выбора нужно составить матрицу: какие варианты существуют, чем отличаются, доступны ли они по ссылкам, где меняется цена и что видит покупатель. Затем определяется желаемое поведение: какую страницу должен открыть человек по общему запросу и по запросу о конкретном объеме. Технический сигнал согласуется с этим решением.</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EA6AD5" w14:paraId="48765AD7" w14:textId="77777777">
        <w:trPr>
          <w:cantSplit/>
          <w:tblHeader/>
          <w:jc w:val="center"/>
        </w:trPr>
        <w:tc>
          <w:tcPr>
            <w:tcW w:w="4422" w:type="dxa"/>
            <w:shd w:val="clear" w:color="auto" w:fill="17394A"/>
            <w:tcMar>
              <w:top w:w="75" w:type="dxa"/>
              <w:left w:w="85" w:type="dxa"/>
              <w:bottom w:w="70" w:type="dxa"/>
              <w:right w:w="85" w:type="dxa"/>
            </w:tcMar>
            <w:vAlign w:val="center"/>
          </w:tcPr>
          <w:p w14:paraId="3419FD5D" w14:textId="77777777" w:rsidR="00EA6AD5" w:rsidRDefault="00000000">
            <w:pPr>
              <w:pStyle w:val="TableText"/>
              <w:keepNext/>
            </w:pPr>
            <w:r>
              <w:rPr>
                <w:b/>
                <w:color w:val="FFFFFF"/>
              </w:rPr>
              <w:t>Проверка</w:t>
            </w:r>
          </w:p>
        </w:tc>
        <w:tc>
          <w:tcPr>
            <w:tcW w:w="5329" w:type="dxa"/>
            <w:shd w:val="clear" w:color="auto" w:fill="17394A"/>
            <w:tcMar>
              <w:top w:w="75" w:type="dxa"/>
              <w:left w:w="85" w:type="dxa"/>
              <w:bottom w:w="70" w:type="dxa"/>
              <w:right w:w="85" w:type="dxa"/>
            </w:tcMar>
            <w:vAlign w:val="center"/>
          </w:tcPr>
          <w:p w14:paraId="6419AFB3" w14:textId="77777777" w:rsidR="00EA6AD5" w:rsidRDefault="00000000">
            <w:pPr>
              <w:pStyle w:val="TableText"/>
              <w:keepNext/>
            </w:pPr>
            <w:r>
              <w:rPr>
                <w:b/>
                <w:color w:val="FFFFFF"/>
              </w:rPr>
              <w:t>Почему она нужна</w:t>
            </w:r>
          </w:p>
        </w:tc>
      </w:tr>
      <w:tr w:rsidR="00EA6AD5" w14:paraId="51ACB402" w14:textId="77777777">
        <w:trPr>
          <w:cantSplit/>
          <w:jc w:val="center"/>
        </w:trPr>
        <w:tc>
          <w:tcPr>
            <w:tcW w:w="4422" w:type="dxa"/>
            <w:shd w:val="clear" w:color="auto" w:fill="F3F5F7"/>
            <w:tcMar>
              <w:top w:w="75" w:type="dxa"/>
              <w:left w:w="85" w:type="dxa"/>
              <w:bottom w:w="70" w:type="dxa"/>
              <w:right w:w="85" w:type="dxa"/>
            </w:tcMar>
            <w:vAlign w:val="center"/>
          </w:tcPr>
          <w:p w14:paraId="7F87CAC2" w14:textId="77777777" w:rsidR="00EA6AD5" w:rsidRDefault="00000000">
            <w:pPr>
              <w:pStyle w:val="TableText"/>
            </w:pPr>
            <w:r>
              <w:rPr>
                <w:color w:val="263B43"/>
              </w:rPr>
              <w:t>Смысловая эквивалентность</w:t>
            </w:r>
          </w:p>
        </w:tc>
        <w:tc>
          <w:tcPr>
            <w:tcW w:w="5329" w:type="dxa"/>
            <w:shd w:val="clear" w:color="auto" w:fill="F3F5F7"/>
            <w:tcMar>
              <w:top w:w="75" w:type="dxa"/>
              <w:left w:w="85" w:type="dxa"/>
              <w:bottom w:w="70" w:type="dxa"/>
              <w:right w:w="85" w:type="dxa"/>
            </w:tcMar>
            <w:vAlign w:val="center"/>
          </w:tcPr>
          <w:p w14:paraId="177A80D2" w14:textId="77777777" w:rsidR="00EA6AD5" w:rsidRDefault="00000000">
            <w:pPr>
              <w:pStyle w:val="TableText"/>
            </w:pPr>
            <w:r>
              <w:rPr>
                <w:color w:val="263B43"/>
              </w:rPr>
              <w:t>Canonical не заменяет соответствие документов</w:t>
            </w:r>
          </w:p>
        </w:tc>
      </w:tr>
      <w:tr w:rsidR="00EA6AD5" w14:paraId="02142CBD" w14:textId="77777777">
        <w:trPr>
          <w:cantSplit/>
          <w:jc w:val="center"/>
        </w:trPr>
        <w:tc>
          <w:tcPr>
            <w:tcW w:w="4422" w:type="dxa"/>
            <w:shd w:val="clear" w:color="auto" w:fill="FFFFFF"/>
            <w:tcMar>
              <w:top w:w="75" w:type="dxa"/>
              <w:left w:w="85" w:type="dxa"/>
              <w:bottom w:w="70" w:type="dxa"/>
              <w:right w:w="85" w:type="dxa"/>
            </w:tcMar>
            <w:vAlign w:val="center"/>
          </w:tcPr>
          <w:p w14:paraId="698281A6" w14:textId="77777777" w:rsidR="00EA6AD5" w:rsidRDefault="00000000">
            <w:pPr>
              <w:pStyle w:val="TableText"/>
            </w:pPr>
            <w:r>
              <w:rPr>
                <w:color w:val="263B43"/>
              </w:rPr>
              <w:t>Наличие и жизненный цикл</w:t>
            </w:r>
          </w:p>
        </w:tc>
        <w:tc>
          <w:tcPr>
            <w:tcW w:w="5329" w:type="dxa"/>
            <w:shd w:val="clear" w:color="auto" w:fill="FFFFFF"/>
            <w:tcMar>
              <w:top w:w="75" w:type="dxa"/>
              <w:left w:w="85" w:type="dxa"/>
              <w:bottom w:w="70" w:type="dxa"/>
              <w:right w:w="85" w:type="dxa"/>
            </w:tcMar>
            <w:vAlign w:val="center"/>
          </w:tcPr>
          <w:p w14:paraId="4EB49DBD" w14:textId="77777777" w:rsidR="00EA6AD5" w:rsidRDefault="00000000">
            <w:pPr>
              <w:pStyle w:val="TableText"/>
            </w:pPr>
            <w:r>
              <w:rPr>
                <w:color w:val="263B43"/>
              </w:rPr>
              <w:t>Основная вариация может исчезнуть из продажи</w:t>
            </w:r>
          </w:p>
        </w:tc>
      </w:tr>
      <w:tr w:rsidR="00EA6AD5" w14:paraId="40FDB661" w14:textId="77777777">
        <w:trPr>
          <w:cantSplit/>
          <w:jc w:val="center"/>
        </w:trPr>
        <w:tc>
          <w:tcPr>
            <w:tcW w:w="4422" w:type="dxa"/>
            <w:shd w:val="clear" w:color="auto" w:fill="F3F5F7"/>
            <w:tcMar>
              <w:top w:w="75" w:type="dxa"/>
              <w:left w:w="85" w:type="dxa"/>
              <w:bottom w:w="70" w:type="dxa"/>
              <w:right w:w="85" w:type="dxa"/>
            </w:tcMar>
            <w:vAlign w:val="center"/>
          </w:tcPr>
          <w:p w14:paraId="5B04F04D" w14:textId="77777777" w:rsidR="00EA6AD5" w:rsidRDefault="00000000">
            <w:pPr>
              <w:pStyle w:val="TableText"/>
            </w:pPr>
            <w:r>
              <w:rPr>
                <w:color w:val="263B43"/>
              </w:rPr>
              <w:t>Внутренние связи</w:t>
            </w:r>
          </w:p>
        </w:tc>
        <w:tc>
          <w:tcPr>
            <w:tcW w:w="5329" w:type="dxa"/>
            <w:shd w:val="clear" w:color="auto" w:fill="F3F5F7"/>
            <w:tcMar>
              <w:top w:w="75" w:type="dxa"/>
              <w:left w:w="85" w:type="dxa"/>
              <w:bottom w:w="70" w:type="dxa"/>
              <w:right w:w="85" w:type="dxa"/>
            </w:tcMar>
            <w:vAlign w:val="center"/>
          </w:tcPr>
          <w:p w14:paraId="6783A92B" w14:textId="77777777" w:rsidR="00EA6AD5" w:rsidRDefault="00000000">
            <w:pPr>
              <w:pStyle w:val="TableText"/>
            </w:pPr>
            <w:r>
              <w:rPr>
                <w:color w:val="263B43"/>
              </w:rPr>
              <w:t>Пользователь должен находить остальные варианты</w:t>
            </w:r>
          </w:p>
        </w:tc>
      </w:tr>
      <w:tr w:rsidR="00EA6AD5" w14:paraId="4ACC9DEC" w14:textId="77777777">
        <w:trPr>
          <w:cantSplit/>
          <w:jc w:val="center"/>
        </w:trPr>
        <w:tc>
          <w:tcPr>
            <w:tcW w:w="4422" w:type="dxa"/>
            <w:shd w:val="clear" w:color="auto" w:fill="FFFFFF"/>
            <w:tcMar>
              <w:top w:w="75" w:type="dxa"/>
              <w:left w:w="85" w:type="dxa"/>
              <w:bottom w:w="70" w:type="dxa"/>
              <w:right w:w="85" w:type="dxa"/>
            </w:tcMar>
            <w:vAlign w:val="center"/>
          </w:tcPr>
          <w:p w14:paraId="604A8652" w14:textId="77777777" w:rsidR="00EA6AD5" w:rsidRDefault="00000000">
            <w:pPr>
              <w:pStyle w:val="TableText"/>
            </w:pPr>
            <w:r>
              <w:rPr>
                <w:color w:val="263B43"/>
              </w:rPr>
              <w:t>Общий результат семейства</w:t>
            </w:r>
          </w:p>
        </w:tc>
        <w:tc>
          <w:tcPr>
            <w:tcW w:w="5329" w:type="dxa"/>
            <w:shd w:val="clear" w:color="auto" w:fill="FFFFFF"/>
            <w:tcMar>
              <w:top w:w="75" w:type="dxa"/>
              <w:left w:w="85" w:type="dxa"/>
              <w:bottom w:w="70" w:type="dxa"/>
              <w:right w:w="85" w:type="dxa"/>
            </w:tcMar>
            <w:vAlign w:val="center"/>
          </w:tcPr>
          <w:p w14:paraId="260FE4E3" w14:textId="77777777" w:rsidR="00EA6AD5" w:rsidRDefault="00000000">
            <w:pPr>
              <w:pStyle w:val="TableText"/>
            </w:pPr>
            <w:r>
              <w:rPr>
                <w:color w:val="263B43"/>
              </w:rPr>
              <w:t>Рост вариаций может сопровождаться переносом трафика</w:t>
            </w:r>
          </w:p>
        </w:tc>
      </w:tr>
    </w:tbl>
    <w:p w14:paraId="26D34F30" w14:textId="77777777" w:rsidR="00EA6AD5" w:rsidRDefault="00EA6AD5">
      <w:pPr>
        <w:spacing w:after="20" w:line="60" w:lineRule="exact"/>
      </w:pPr>
    </w:p>
    <w:p w14:paraId="13919FDC" w14:textId="77777777" w:rsidR="00EA6AD5" w:rsidRDefault="00000000">
      <w:r>
        <w:t>Неоднозначность результата основных страниц не равна доказательству абсолютного отсутствия эффекта. Она означает, что данным и методу не удалось надежно выделить изменение. Аналитик должен сохранять это различие и не писать «основные карточки точно не затронуты».</w:t>
      </w:r>
    </w:p>
    <w:p w14:paraId="54AE6FF8" w14:textId="77777777" w:rsidR="00EA6AD5" w:rsidRDefault="00000000">
      <w:r>
        <w:t>В новом проекте разумно начать с ограниченного набора, определить условия отмены и проверить обработку поисковой системой. Нельзя применять экспериментальный прием ко всему каталогу только из-за привлекательных 22%. Чужой кейс дает гипотезу и способ постановки вопроса, а не разрешение на массовый риск.</w:t>
      </w:r>
    </w:p>
    <w:p w14:paraId="430A6E03" w14:textId="77777777" w:rsidR="00EA6AD5" w:rsidRDefault="00000000">
      <w:pPr>
        <w:pStyle w:val="1"/>
        <w:pageBreakBefore/>
      </w:pPr>
      <w:r>
        <w:lastRenderedPageBreak/>
        <w:t>Учебный план миграции: шесть адресов и одна логика</w:t>
      </w:r>
    </w:p>
    <w:p w14:paraId="022B38AB" w14:textId="77777777" w:rsidR="00EA6AD5" w:rsidRDefault="00000000">
      <w:r>
        <w:t>Авторская модель: магазин меняет структуру раздела светильников. Старые адреса нужно связать с новыми по назначению. Дополнительно сохраняются параметры рекламной аналитики, исправляются внутренние ссылки и обновляются карты. Все действия ниже — проект, не отчет о реальной миграции.</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EA6AD5" w14:paraId="69B2EBBF" w14:textId="77777777">
        <w:trPr>
          <w:cantSplit/>
          <w:tblHeader/>
          <w:jc w:val="center"/>
        </w:trPr>
        <w:tc>
          <w:tcPr>
            <w:tcW w:w="2948" w:type="dxa"/>
            <w:shd w:val="clear" w:color="auto" w:fill="17394A"/>
            <w:tcMar>
              <w:top w:w="75" w:type="dxa"/>
              <w:left w:w="85" w:type="dxa"/>
              <w:bottom w:w="70" w:type="dxa"/>
              <w:right w:w="85" w:type="dxa"/>
            </w:tcMar>
            <w:vAlign w:val="center"/>
          </w:tcPr>
          <w:p w14:paraId="4F29A7DA" w14:textId="77777777" w:rsidR="00EA6AD5" w:rsidRDefault="00000000">
            <w:pPr>
              <w:pStyle w:val="TableText"/>
              <w:keepNext/>
            </w:pPr>
            <w:r>
              <w:rPr>
                <w:b/>
                <w:color w:val="FFFFFF"/>
              </w:rPr>
              <w:t>Старый адрес</w:t>
            </w:r>
          </w:p>
        </w:tc>
        <w:tc>
          <w:tcPr>
            <w:tcW w:w="3402" w:type="dxa"/>
            <w:shd w:val="clear" w:color="auto" w:fill="17394A"/>
            <w:tcMar>
              <w:top w:w="75" w:type="dxa"/>
              <w:left w:w="85" w:type="dxa"/>
              <w:bottom w:w="70" w:type="dxa"/>
              <w:right w:w="85" w:type="dxa"/>
            </w:tcMar>
            <w:vAlign w:val="center"/>
          </w:tcPr>
          <w:p w14:paraId="0C1924BA" w14:textId="77777777" w:rsidR="00EA6AD5" w:rsidRDefault="00000000">
            <w:pPr>
              <w:pStyle w:val="TableText"/>
              <w:keepNext/>
            </w:pPr>
            <w:r>
              <w:rPr>
                <w:b/>
                <w:color w:val="FFFFFF"/>
              </w:rPr>
              <w:t>Новое состояние</w:t>
            </w:r>
          </w:p>
        </w:tc>
        <w:tc>
          <w:tcPr>
            <w:tcW w:w="3402" w:type="dxa"/>
            <w:shd w:val="clear" w:color="auto" w:fill="17394A"/>
            <w:tcMar>
              <w:top w:w="75" w:type="dxa"/>
              <w:left w:w="85" w:type="dxa"/>
              <w:bottom w:w="70" w:type="dxa"/>
              <w:right w:w="85" w:type="dxa"/>
            </w:tcMar>
            <w:vAlign w:val="center"/>
          </w:tcPr>
          <w:p w14:paraId="3BA2A579" w14:textId="77777777" w:rsidR="00EA6AD5" w:rsidRDefault="00000000">
            <w:pPr>
              <w:pStyle w:val="TableText"/>
              <w:keepNext/>
            </w:pPr>
            <w:r>
              <w:rPr>
                <w:b/>
                <w:color w:val="FFFFFF"/>
              </w:rPr>
              <w:t>Обоснование</w:t>
            </w:r>
          </w:p>
        </w:tc>
      </w:tr>
      <w:tr w:rsidR="00EA6AD5" w14:paraId="2B61EE15" w14:textId="77777777">
        <w:trPr>
          <w:cantSplit/>
          <w:jc w:val="center"/>
        </w:trPr>
        <w:tc>
          <w:tcPr>
            <w:tcW w:w="2948" w:type="dxa"/>
            <w:shd w:val="clear" w:color="auto" w:fill="F3F5F7"/>
            <w:tcMar>
              <w:top w:w="75" w:type="dxa"/>
              <w:left w:w="85" w:type="dxa"/>
              <w:bottom w:w="70" w:type="dxa"/>
              <w:right w:w="85" w:type="dxa"/>
            </w:tcMar>
            <w:vAlign w:val="center"/>
          </w:tcPr>
          <w:p w14:paraId="100AE198" w14:textId="77777777" w:rsidR="00EA6AD5" w:rsidRDefault="00000000">
            <w:pPr>
              <w:pStyle w:val="TableText"/>
            </w:pPr>
            <w:r>
              <w:rPr>
                <w:color w:val="263B43"/>
              </w:rPr>
              <w:t>/catalog/lights/</w:t>
            </w:r>
          </w:p>
        </w:tc>
        <w:tc>
          <w:tcPr>
            <w:tcW w:w="3402" w:type="dxa"/>
            <w:shd w:val="clear" w:color="auto" w:fill="F3F5F7"/>
            <w:tcMar>
              <w:top w:w="75" w:type="dxa"/>
              <w:left w:w="85" w:type="dxa"/>
              <w:bottom w:w="70" w:type="dxa"/>
              <w:right w:w="85" w:type="dxa"/>
            </w:tcMar>
            <w:vAlign w:val="center"/>
          </w:tcPr>
          <w:p w14:paraId="0C7D4A94" w14:textId="77777777" w:rsidR="00EA6AD5" w:rsidRDefault="00000000">
            <w:pPr>
              <w:pStyle w:val="TableText"/>
            </w:pPr>
            <w:r>
              <w:rPr>
                <w:color w:val="263B43"/>
              </w:rPr>
              <w:t>/lighting/</w:t>
            </w:r>
          </w:p>
        </w:tc>
        <w:tc>
          <w:tcPr>
            <w:tcW w:w="3402" w:type="dxa"/>
            <w:shd w:val="clear" w:color="auto" w:fill="F3F5F7"/>
            <w:tcMar>
              <w:top w:w="75" w:type="dxa"/>
              <w:left w:w="85" w:type="dxa"/>
              <w:bottom w:w="70" w:type="dxa"/>
              <w:right w:w="85" w:type="dxa"/>
            </w:tcMar>
            <w:vAlign w:val="center"/>
          </w:tcPr>
          <w:p w14:paraId="3DA2D8BF" w14:textId="77777777" w:rsidR="00EA6AD5" w:rsidRDefault="00000000">
            <w:pPr>
              <w:pStyle w:val="TableText"/>
            </w:pPr>
            <w:r>
              <w:rPr>
                <w:color w:val="263B43"/>
              </w:rPr>
              <w:t>Та же категория в новой структуре</w:t>
            </w:r>
          </w:p>
        </w:tc>
      </w:tr>
      <w:tr w:rsidR="00EA6AD5" w14:paraId="11353F8E" w14:textId="77777777">
        <w:trPr>
          <w:cantSplit/>
          <w:jc w:val="center"/>
        </w:trPr>
        <w:tc>
          <w:tcPr>
            <w:tcW w:w="2948" w:type="dxa"/>
            <w:shd w:val="clear" w:color="auto" w:fill="FFFFFF"/>
            <w:tcMar>
              <w:top w:w="75" w:type="dxa"/>
              <w:left w:w="85" w:type="dxa"/>
              <w:bottom w:w="70" w:type="dxa"/>
              <w:right w:w="85" w:type="dxa"/>
            </w:tcMar>
            <w:vAlign w:val="center"/>
          </w:tcPr>
          <w:p w14:paraId="66F7552C" w14:textId="77777777" w:rsidR="00EA6AD5" w:rsidRDefault="00000000">
            <w:pPr>
              <w:pStyle w:val="TableText"/>
            </w:pPr>
            <w:r>
              <w:rPr>
                <w:color w:val="263B43"/>
              </w:rPr>
              <w:t>/item/lamp-a/</w:t>
            </w:r>
          </w:p>
        </w:tc>
        <w:tc>
          <w:tcPr>
            <w:tcW w:w="3402" w:type="dxa"/>
            <w:shd w:val="clear" w:color="auto" w:fill="FFFFFF"/>
            <w:tcMar>
              <w:top w:w="75" w:type="dxa"/>
              <w:left w:w="85" w:type="dxa"/>
              <w:bottom w:w="70" w:type="dxa"/>
              <w:right w:w="85" w:type="dxa"/>
            </w:tcMar>
            <w:vAlign w:val="center"/>
          </w:tcPr>
          <w:p w14:paraId="398B6601" w14:textId="77777777" w:rsidR="00EA6AD5" w:rsidRDefault="00000000">
            <w:pPr>
              <w:pStyle w:val="TableText"/>
            </w:pPr>
            <w:r>
              <w:rPr>
                <w:color w:val="263B43"/>
              </w:rPr>
              <w:t>/products/lamp-a/</w:t>
            </w:r>
          </w:p>
        </w:tc>
        <w:tc>
          <w:tcPr>
            <w:tcW w:w="3402" w:type="dxa"/>
            <w:shd w:val="clear" w:color="auto" w:fill="FFFFFF"/>
            <w:tcMar>
              <w:top w:w="75" w:type="dxa"/>
              <w:left w:w="85" w:type="dxa"/>
              <w:bottom w:w="70" w:type="dxa"/>
              <w:right w:w="85" w:type="dxa"/>
            </w:tcMar>
            <w:vAlign w:val="center"/>
          </w:tcPr>
          <w:p w14:paraId="33D51938" w14:textId="77777777" w:rsidR="00EA6AD5" w:rsidRDefault="00000000">
            <w:pPr>
              <w:pStyle w:val="TableText"/>
            </w:pPr>
            <w:r>
              <w:rPr>
                <w:color w:val="263B43"/>
              </w:rPr>
              <w:t>Тот же товар и комплектация</w:t>
            </w:r>
          </w:p>
        </w:tc>
      </w:tr>
      <w:tr w:rsidR="00EA6AD5" w14:paraId="3E18B664" w14:textId="77777777">
        <w:trPr>
          <w:cantSplit/>
          <w:jc w:val="center"/>
        </w:trPr>
        <w:tc>
          <w:tcPr>
            <w:tcW w:w="2948" w:type="dxa"/>
            <w:shd w:val="clear" w:color="auto" w:fill="F3F5F7"/>
            <w:tcMar>
              <w:top w:w="75" w:type="dxa"/>
              <w:left w:w="85" w:type="dxa"/>
              <w:bottom w:w="70" w:type="dxa"/>
              <w:right w:w="85" w:type="dxa"/>
            </w:tcMar>
            <w:vAlign w:val="center"/>
          </w:tcPr>
          <w:p w14:paraId="42D3E5A1" w14:textId="77777777" w:rsidR="00EA6AD5" w:rsidRDefault="00000000">
            <w:pPr>
              <w:pStyle w:val="TableText"/>
            </w:pPr>
            <w:r>
              <w:rPr>
                <w:color w:val="263B43"/>
              </w:rPr>
              <w:t>/guide/old-light/</w:t>
            </w:r>
          </w:p>
        </w:tc>
        <w:tc>
          <w:tcPr>
            <w:tcW w:w="3402" w:type="dxa"/>
            <w:shd w:val="clear" w:color="auto" w:fill="F3F5F7"/>
            <w:tcMar>
              <w:top w:w="75" w:type="dxa"/>
              <w:left w:w="85" w:type="dxa"/>
              <w:bottom w:w="70" w:type="dxa"/>
              <w:right w:w="85" w:type="dxa"/>
            </w:tcMar>
            <w:vAlign w:val="center"/>
          </w:tcPr>
          <w:p w14:paraId="561D306C" w14:textId="77777777" w:rsidR="00EA6AD5" w:rsidRDefault="00000000">
            <w:pPr>
              <w:pStyle w:val="TableText"/>
            </w:pPr>
            <w:r>
              <w:rPr>
                <w:color w:val="263B43"/>
              </w:rPr>
              <w:t>/guides/choose-light/</w:t>
            </w:r>
          </w:p>
        </w:tc>
        <w:tc>
          <w:tcPr>
            <w:tcW w:w="3402" w:type="dxa"/>
            <w:shd w:val="clear" w:color="auto" w:fill="F3F5F7"/>
            <w:tcMar>
              <w:top w:w="75" w:type="dxa"/>
              <w:left w:w="85" w:type="dxa"/>
              <w:bottom w:w="70" w:type="dxa"/>
              <w:right w:w="85" w:type="dxa"/>
            </w:tcMar>
            <w:vAlign w:val="center"/>
          </w:tcPr>
          <w:p w14:paraId="38D77E65" w14:textId="77777777" w:rsidR="00EA6AD5" w:rsidRDefault="00000000">
            <w:pPr>
              <w:pStyle w:val="TableText"/>
            </w:pPr>
            <w:r>
              <w:rPr>
                <w:color w:val="263B43"/>
              </w:rPr>
              <w:t>Обновленный ответ на ту же задачу</w:t>
            </w:r>
          </w:p>
        </w:tc>
      </w:tr>
      <w:tr w:rsidR="00EA6AD5" w14:paraId="6C078DF3" w14:textId="77777777">
        <w:trPr>
          <w:cantSplit/>
          <w:jc w:val="center"/>
        </w:trPr>
        <w:tc>
          <w:tcPr>
            <w:tcW w:w="2948" w:type="dxa"/>
            <w:shd w:val="clear" w:color="auto" w:fill="FFFFFF"/>
            <w:tcMar>
              <w:top w:w="75" w:type="dxa"/>
              <w:left w:w="85" w:type="dxa"/>
              <w:bottom w:w="70" w:type="dxa"/>
              <w:right w:w="85" w:type="dxa"/>
            </w:tcMar>
            <w:vAlign w:val="center"/>
          </w:tcPr>
          <w:p w14:paraId="551A0207" w14:textId="77777777" w:rsidR="00EA6AD5" w:rsidRDefault="00000000">
            <w:pPr>
              <w:pStyle w:val="TableText"/>
            </w:pPr>
            <w:r>
              <w:rPr>
                <w:color w:val="263B43"/>
              </w:rPr>
              <w:t>/sale/expired/</w:t>
            </w:r>
          </w:p>
        </w:tc>
        <w:tc>
          <w:tcPr>
            <w:tcW w:w="3402" w:type="dxa"/>
            <w:shd w:val="clear" w:color="auto" w:fill="FFFFFF"/>
            <w:tcMar>
              <w:top w:w="75" w:type="dxa"/>
              <w:left w:w="85" w:type="dxa"/>
              <w:bottom w:w="70" w:type="dxa"/>
              <w:right w:w="85" w:type="dxa"/>
            </w:tcMar>
            <w:vAlign w:val="center"/>
          </w:tcPr>
          <w:p w14:paraId="61CCAF5E" w14:textId="77777777" w:rsidR="00EA6AD5" w:rsidRDefault="00000000">
            <w:pPr>
              <w:pStyle w:val="TableText"/>
            </w:pPr>
            <w:r>
              <w:rPr>
                <w:color w:val="263B43"/>
              </w:rPr>
              <w:t>Удаление без ложной замены</w:t>
            </w:r>
          </w:p>
        </w:tc>
        <w:tc>
          <w:tcPr>
            <w:tcW w:w="3402" w:type="dxa"/>
            <w:shd w:val="clear" w:color="auto" w:fill="FFFFFF"/>
            <w:tcMar>
              <w:top w:w="75" w:type="dxa"/>
              <w:left w:w="85" w:type="dxa"/>
              <w:bottom w:w="70" w:type="dxa"/>
              <w:right w:w="85" w:type="dxa"/>
            </w:tcMar>
            <w:vAlign w:val="center"/>
          </w:tcPr>
          <w:p w14:paraId="0470876A" w14:textId="77777777" w:rsidR="00EA6AD5" w:rsidRDefault="00000000">
            <w:pPr>
              <w:pStyle w:val="TableText"/>
            </w:pPr>
            <w:r>
              <w:rPr>
                <w:color w:val="263B43"/>
              </w:rPr>
              <w:t>Акция завершена, равнозначного предложения нет</w:t>
            </w:r>
          </w:p>
        </w:tc>
      </w:tr>
      <w:tr w:rsidR="00EA6AD5" w14:paraId="0E415095" w14:textId="77777777">
        <w:trPr>
          <w:cantSplit/>
          <w:jc w:val="center"/>
        </w:trPr>
        <w:tc>
          <w:tcPr>
            <w:tcW w:w="2948" w:type="dxa"/>
            <w:shd w:val="clear" w:color="auto" w:fill="F3F5F7"/>
            <w:tcMar>
              <w:top w:w="75" w:type="dxa"/>
              <w:left w:w="85" w:type="dxa"/>
              <w:bottom w:w="70" w:type="dxa"/>
              <w:right w:w="85" w:type="dxa"/>
            </w:tcMar>
            <w:vAlign w:val="center"/>
          </w:tcPr>
          <w:p w14:paraId="78DD9610" w14:textId="77777777" w:rsidR="00EA6AD5" w:rsidRDefault="00000000">
            <w:pPr>
              <w:pStyle w:val="TableText"/>
            </w:pPr>
            <w:r>
              <w:rPr>
                <w:color w:val="263B43"/>
              </w:rPr>
              <w:t>/search?q=lamp</w:t>
            </w:r>
          </w:p>
        </w:tc>
        <w:tc>
          <w:tcPr>
            <w:tcW w:w="3402" w:type="dxa"/>
            <w:shd w:val="clear" w:color="auto" w:fill="F3F5F7"/>
            <w:tcMar>
              <w:top w:w="75" w:type="dxa"/>
              <w:left w:w="85" w:type="dxa"/>
              <w:bottom w:w="70" w:type="dxa"/>
              <w:right w:w="85" w:type="dxa"/>
            </w:tcMar>
            <w:vAlign w:val="center"/>
          </w:tcPr>
          <w:p w14:paraId="67D2EE81" w14:textId="77777777" w:rsidR="00EA6AD5" w:rsidRDefault="00000000">
            <w:pPr>
              <w:pStyle w:val="TableText"/>
            </w:pPr>
            <w:r>
              <w:rPr>
                <w:color w:val="263B43"/>
              </w:rPr>
              <w:t>Служебный поиск</w:t>
            </w:r>
          </w:p>
        </w:tc>
        <w:tc>
          <w:tcPr>
            <w:tcW w:w="3402" w:type="dxa"/>
            <w:shd w:val="clear" w:color="auto" w:fill="F3F5F7"/>
            <w:tcMar>
              <w:top w:w="75" w:type="dxa"/>
              <w:left w:w="85" w:type="dxa"/>
              <w:bottom w:w="70" w:type="dxa"/>
              <w:right w:w="85" w:type="dxa"/>
            </w:tcMar>
            <w:vAlign w:val="center"/>
          </w:tcPr>
          <w:p w14:paraId="2214AD19" w14:textId="77777777" w:rsidR="00EA6AD5" w:rsidRDefault="00000000">
            <w:pPr>
              <w:pStyle w:val="TableText"/>
            </w:pPr>
            <w:r>
              <w:rPr>
                <w:color w:val="263B43"/>
              </w:rPr>
              <w:t>Не основная целевая страница</w:t>
            </w:r>
          </w:p>
        </w:tc>
      </w:tr>
      <w:tr w:rsidR="00EA6AD5" w14:paraId="6681E52A" w14:textId="77777777">
        <w:trPr>
          <w:cantSplit/>
          <w:jc w:val="center"/>
        </w:trPr>
        <w:tc>
          <w:tcPr>
            <w:tcW w:w="2948" w:type="dxa"/>
            <w:shd w:val="clear" w:color="auto" w:fill="FFFFFF"/>
            <w:tcMar>
              <w:top w:w="75" w:type="dxa"/>
              <w:left w:w="85" w:type="dxa"/>
              <w:bottom w:w="70" w:type="dxa"/>
              <w:right w:w="85" w:type="dxa"/>
            </w:tcMar>
            <w:vAlign w:val="center"/>
          </w:tcPr>
          <w:p w14:paraId="7ABD15F4" w14:textId="77777777" w:rsidR="00EA6AD5" w:rsidRDefault="00000000">
            <w:pPr>
              <w:pStyle w:val="TableText"/>
            </w:pPr>
            <w:r>
              <w:rPr>
                <w:color w:val="263B43"/>
              </w:rPr>
              <w:t>/account/order/</w:t>
            </w:r>
          </w:p>
        </w:tc>
        <w:tc>
          <w:tcPr>
            <w:tcW w:w="3402" w:type="dxa"/>
            <w:shd w:val="clear" w:color="auto" w:fill="FFFFFF"/>
            <w:tcMar>
              <w:top w:w="75" w:type="dxa"/>
              <w:left w:w="85" w:type="dxa"/>
              <w:bottom w:w="70" w:type="dxa"/>
              <w:right w:w="85" w:type="dxa"/>
            </w:tcMar>
            <w:vAlign w:val="center"/>
          </w:tcPr>
          <w:p w14:paraId="430029D3" w14:textId="77777777" w:rsidR="00EA6AD5" w:rsidRDefault="00000000">
            <w:pPr>
              <w:pStyle w:val="TableText"/>
            </w:pPr>
            <w:r>
              <w:rPr>
                <w:color w:val="263B43"/>
              </w:rPr>
              <w:t>Закрытый доступ</w:t>
            </w:r>
          </w:p>
        </w:tc>
        <w:tc>
          <w:tcPr>
            <w:tcW w:w="3402" w:type="dxa"/>
            <w:shd w:val="clear" w:color="auto" w:fill="FFFFFF"/>
            <w:tcMar>
              <w:top w:w="75" w:type="dxa"/>
              <w:left w:w="85" w:type="dxa"/>
              <w:bottom w:w="70" w:type="dxa"/>
              <w:right w:w="85" w:type="dxa"/>
            </w:tcMar>
            <w:vAlign w:val="center"/>
          </w:tcPr>
          <w:p w14:paraId="78516AFA" w14:textId="77777777" w:rsidR="00EA6AD5" w:rsidRDefault="00000000">
            <w:pPr>
              <w:pStyle w:val="TableText"/>
            </w:pPr>
            <w:r>
              <w:rPr>
                <w:color w:val="263B43"/>
              </w:rPr>
              <w:t>Не публичный поисковый ресурс</w:t>
            </w:r>
          </w:p>
        </w:tc>
      </w:tr>
    </w:tbl>
    <w:p w14:paraId="20416F46" w14:textId="77777777" w:rsidR="00EA6AD5" w:rsidRDefault="00EA6AD5">
      <w:pPr>
        <w:spacing w:after="20" w:line="60" w:lineRule="exact"/>
      </w:pPr>
    </w:p>
    <w:p w14:paraId="0956A34E" w14:textId="77777777" w:rsidR="00EA6AD5" w:rsidRDefault="00000000">
      <w:r>
        <w:t>До запуска проверяют работоспособность новых страниц, перенаправления, canonical, ссылки, аналитику и отсутствие случайных тестовых ограничений. Для каждого старого важного адреса полезен один понятный конечный документ, а не цепочка нескольких переездов. Если соответствия нет, это нужно признать, а не маскировать переходом на главную.</w:t>
      </w:r>
    </w:p>
    <w:p w14:paraId="5BC396C4" w14:textId="77777777" w:rsidR="00EA6AD5" w:rsidRDefault="00000000">
      <w:r>
        <w:t>После запуска техническая проверка производится немедленно, а поисковые последствия наблюдаются во времени. Контролируются ошибки загрузки, доступность нужного содержания, переходы, индексирование и результаты выбранных групп. Падение одного дня не доказывает провал, но подтвержденная массовая ошибка не должна ждать окончания месячного отчета.</w:t>
      </w:r>
    </w:p>
    <w:p w14:paraId="797BB637" w14:textId="77777777" w:rsidR="00EA6AD5" w:rsidRDefault="00000000">
      <w:pPr>
        <w:pStyle w:val="21"/>
      </w:pPr>
      <w:r>
        <w:t>Критерий отмены и восстановление</w:t>
      </w:r>
    </w:p>
    <w:p w14:paraId="1A0A5418" w14:textId="77777777" w:rsidR="00EA6AD5" w:rsidRDefault="00000000">
      <w:r>
        <w:t>Пример условия: «При обнаружении массовой недоступности основных карточек приостанавливаем раскатку шаблона и восстанавливаем работоспособный вариант». Это не обещание вернуть прежние позиции мгновенно. План восстановления должен относиться к реально контролируемой системе.</w:t>
      </w:r>
    </w:p>
    <w:p w14:paraId="1948D6CA" w14:textId="77777777" w:rsidR="00EA6AD5" w:rsidRDefault="00000000">
      <w:r>
        <w:t>Назначьте ответственного за карту URL и человека, который проверяет бизнес-соответствие. Разработчик способен корректно реализовать неправильное сопоставление; поэтому техническая исправность и смысловая корректность проверяются отдельно.</w:t>
      </w:r>
    </w:p>
    <w:p w14:paraId="1A64D475" w14:textId="77777777" w:rsidR="00EA6AD5" w:rsidRDefault="00000000">
      <w:pPr>
        <w:pStyle w:val="Callout"/>
        <w:keepLines/>
        <w:pBdr>
          <w:left w:val="single" w:sz="14" w:space="7" w:color="286D73"/>
        </w:pBdr>
        <w:shd w:val="clear" w:color="auto" w:fill="EDF5F5"/>
        <w:ind w:left="125" w:right="113"/>
      </w:pPr>
      <w:r>
        <w:t>Переезд считается подготовленным, когда есть карта соответствий, тестовые проверки, мониторинг и порядок реакции, а не только новая структура адресов.</w:t>
      </w:r>
    </w:p>
    <w:p w14:paraId="29375483" w14:textId="77777777" w:rsidR="00EA6AD5" w:rsidRDefault="00000000">
      <w:pPr>
        <w:pStyle w:val="1"/>
        <w:pageBreakBefore/>
      </w:pPr>
      <w:r>
        <w:lastRenderedPageBreak/>
        <w:t>Реестр аудита и коммуникация с разработчиком</w:t>
      </w:r>
    </w:p>
    <w:p w14:paraId="4AB1EE6B" w14:textId="77777777" w:rsidR="00EA6AD5" w:rsidRDefault="00000000">
      <w:r>
        <w:t>Полезная карточка проблемы начинается с воспроизводимого примера. Укажите страницу, время, устройство или условия запроса, ожидаемое поведение и наблюдаемый результат. Затем объясните масштаб: единичный документ, шаблон или все приложение. Если масштаб пока неизвестен, это честно отмечается.</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EA6AD5" w14:paraId="1E340AB9" w14:textId="77777777">
        <w:trPr>
          <w:cantSplit/>
          <w:tblHeader/>
          <w:jc w:val="center"/>
        </w:trPr>
        <w:tc>
          <w:tcPr>
            <w:tcW w:w="4422" w:type="dxa"/>
            <w:shd w:val="clear" w:color="auto" w:fill="17394A"/>
            <w:tcMar>
              <w:top w:w="75" w:type="dxa"/>
              <w:left w:w="85" w:type="dxa"/>
              <w:bottom w:w="70" w:type="dxa"/>
              <w:right w:w="85" w:type="dxa"/>
            </w:tcMar>
            <w:vAlign w:val="center"/>
          </w:tcPr>
          <w:p w14:paraId="27146DFE" w14:textId="77777777" w:rsidR="00EA6AD5" w:rsidRDefault="00000000">
            <w:pPr>
              <w:pStyle w:val="TableText"/>
              <w:keepNext/>
            </w:pPr>
            <w:r>
              <w:rPr>
                <w:b/>
                <w:color w:val="FFFFFF"/>
              </w:rPr>
              <w:t>Поле реестра</w:t>
            </w:r>
          </w:p>
        </w:tc>
        <w:tc>
          <w:tcPr>
            <w:tcW w:w="5329" w:type="dxa"/>
            <w:shd w:val="clear" w:color="auto" w:fill="17394A"/>
            <w:tcMar>
              <w:top w:w="75" w:type="dxa"/>
              <w:left w:w="85" w:type="dxa"/>
              <w:bottom w:w="70" w:type="dxa"/>
              <w:right w:w="85" w:type="dxa"/>
            </w:tcMar>
            <w:vAlign w:val="center"/>
          </w:tcPr>
          <w:p w14:paraId="55CC6B0F" w14:textId="77777777" w:rsidR="00EA6AD5" w:rsidRDefault="00000000">
            <w:pPr>
              <w:pStyle w:val="TableText"/>
              <w:keepNext/>
            </w:pPr>
            <w:r>
              <w:rPr>
                <w:b/>
                <w:color w:val="FFFFFF"/>
              </w:rPr>
              <w:t>Пример учебной записи</w:t>
            </w:r>
          </w:p>
        </w:tc>
      </w:tr>
      <w:tr w:rsidR="00EA6AD5" w14:paraId="4F7DF6ED" w14:textId="77777777">
        <w:trPr>
          <w:cantSplit/>
          <w:jc w:val="center"/>
        </w:trPr>
        <w:tc>
          <w:tcPr>
            <w:tcW w:w="4422" w:type="dxa"/>
            <w:shd w:val="clear" w:color="auto" w:fill="F3F5F7"/>
            <w:tcMar>
              <w:top w:w="75" w:type="dxa"/>
              <w:left w:w="85" w:type="dxa"/>
              <w:bottom w:w="70" w:type="dxa"/>
              <w:right w:w="85" w:type="dxa"/>
            </w:tcMar>
            <w:vAlign w:val="center"/>
          </w:tcPr>
          <w:p w14:paraId="4D8C20BD" w14:textId="77777777" w:rsidR="00EA6AD5" w:rsidRDefault="00000000">
            <w:pPr>
              <w:pStyle w:val="TableText"/>
            </w:pPr>
            <w:r>
              <w:rPr>
                <w:color w:val="263B43"/>
              </w:rPr>
              <w:t>Наблюдение</w:t>
            </w:r>
          </w:p>
        </w:tc>
        <w:tc>
          <w:tcPr>
            <w:tcW w:w="5329" w:type="dxa"/>
            <w:shd w:val="clear" w:color="auto" w:fill="F3F5F7"/>
            <w:tcMar>
              <w:top w:w="75" w:type="dxa"/>
              <w:left w:w="85" w:type="dxa"/>
              <w:bottom w:w="70" w:type="dxa"/>
              <w:right w:w="85" w:type="dxa"/>
            </w:tcMar>
            <w:vAlign w:val="center"/>
          </w:tcPr>
          <w:p w14:paraId="13D0E215" w14:textId="77777777" w:rsidR="00EA6AD5" w:rsidRDefault="00000000">
            <w:pPr>
              <w:pStyle w:val="TableText"/>
            </w:pPr>
            <w:r>
              <w:rPr>
                <w:color w:val="263B43"/>
              </w:rPr>
              <w:t>Основная ссылка ведет через несколько старых адресов</w:t>
            </w:r>
          </w:p>
        </w:tc>
      </w:tr>
      <w:tr w:rsidR="00EA6AD5" w14:paraId="15050D79" w14:textId="77777777">
        <w:trPr>
          <w:cantSplit/>
          <w:jc w:val="center"/>
        </w:trPr>
        <w:tc>
          <w:tcPr>
            <w:tcW w:w="4422" w:type="dxa"/>
            <w:shd w:val="clear" w:color="auto" w:fill="FFFFFF"/>
            <w:tcMar>
              <w:top w:w="75" w:type="dxa"/>
              <w:left w:w="85" w:type="dxa"/>
              <w:bottom w:w="70" w:type="dxa"/>
              <w:right w:w="85" w:type="dxa"/>
            </w:tcMar>
            <w:vAlign w:val="center"/>
          </w:tcPr>
          <w:p w14:paraId="2E76BDE3" w14:textId="77777777" w:rsidR="00EA6AD5" w:rsidRDefault="00000000">
            <w:pPr>
              <w:pStyle w:val="TableText"/>
            </w:pPr>
            <w:r>
              <w:rPr>
                <w:color w:val="263B43"/>
              </w:rPr>
              <w:t>Последствие</w:t>
            </w:r>
          </w:p>
        </w:tc>
        <w:tc>
          <w:tcPr>
            <w:tcW w:w="5329" w:type="dxa"/>
            <w:shd w:val="clear" w:color="auto" w:fill="FFFFFF"/>
            <w:tcMar>
              <w:top w:w="75" w:type="dxa"/>
              <w:left w:w="85" w:type="dxa"/>
              <w:bottom w:w="70" w:type="dxa"/>
              <w:right w:w="85" w:type="dxa"/>
            </w:tcMar>
            <w:vAlign w:val="center"/>
          </w:tcPr>
          <w:p w14:paraId="1C5F7480" w14:textId="77777777" w:rsidR="00EA6AD5" w:rsidRDefault="00000000">
            <w:pPr>
              <w:pStyle w:val="TableText"/>
            </w:pPr>
            <w:r>
              <w:rPr>
                <w:color w:val="263B43"/>
              </w:rPr>
              <w:t>Сложнее контролировать конечную версию и ошибки</w:t>
            </w:r>
          </w:p>
        </w:tc>
      </w:tr>
      <w:tr w:rsidR="00EA6AD5" w14:paraId="1ACEFDD6" w14:textId="77777777">
        <w:trPr>
          <w:cantSplit/>
          <w:jc w:val="center"/>
        </w:trPr>
        <w:tc>
          <w:tcPr>
            <w:tcW w:w="4422" w:type="dxa"/>
            <w:shd w:val="clear" w:color="auto" w:fill="F3F5F7"/>
            <w:tcMar>
              <w:top w:w="75" w:type="dxa"/>
              <w:left w:w="85" w:type="dxa"/>
              <w:bottom w:w="70" w:type="dxa"/>
              <w:right w:w="85" w:type="dxa"/>
            </w:tcMar>
            <w:vAlign w:val="center"/>
          </w:tcPr>
          <w:p w14:paraId="7DE28C8E" w14:textId="77777777" w:rsidR="00EA6AD5" w:rsidRDefault="00000000">
            <w:pPr>
              <w:pStyle w:val="TableText"/>
            </w:pPr>
            <w:r>
              <w:rPr>
                <w:color w:val="263B43"/>
              </w:rPr>
              <w:t>Предложение</w:t>
            </w:r>
          </w:p>
        </w:tc>
        <w:tc>
          <w:tcPr>
            <w:tcW w:w="5329" w:type="dxa"/>
            <w:shd w:val="clear" w:color="auto" w:fill="F3F5F7"/>
            <w:tcMar>
              <w:top w:w="75" w:type="dxa"/>
              <w:left w:w="85" w:type="dxa"/>
              <w:bottom w:w="70" w:type="dxa"/>
              <w:right w:w="85" w:type="dxa"/>
            </w:tcMar>
            <w:vAlign w:val="center"/>
          </w:tcPr>
          <w:p w14:paraId="77372D3A" w14:textId="77777777" w:rsidR="00EA6AD5" w:rsidRDefault="00000000">
            <w:pPr>
              <w:pStyle w:val="TableText"/>
            </w:pPr>
            <w:r>
              <w:rPr>
                <w:color w:val="263B43"/>
              </w:rPr>
              <w:t>Обновить ссылку на текущий соответствующий URL</w:t>
            </w:r>
          </w:p>
        </w:tc>
      </w:tr>
      <w:tr w:rsidR="00EA6AD5" w14:paraId="26BB8733" w14:textId="77777777">
        <w:trPr>
          <w:cantSplit/>
          <w:jc w:val="center"/>
        </w:trPr>
        <w:tc>
          <w:tcPr>
            <w:tcW w:w="4422" w:type="dxa"/>
            <w:shd w:val="clear" w:color="auto" w:fill="FFFFFF"/>
            <w:tcMar>
              <w:top w:w="75" w:type="dxa"/>
              <w:left w:w="85" w:type="dxa"/>
              <w:bottom w:w="70" w:type="dxa"/>
              <w:right w:w="85" w:type="dxa"/>
            </w:tcMar>
            <w:vAlign w:val="center"/>
          </w:tcPr>
          <w:p w14:paraId="11ECC6A6" w14:textId="77777777" w:rsidR="00EA6AD5" w:rsidRDefault="00000000">
            <w:pPr>
              <w:pStyle w:val="TableText"/>
            </w:pPr>
            <w:r>
              <w:rPr>
                <w:color w:val="263B43"/>
              </w:rPr>
              <w:t>Проверка</w:t>
            </w:r>
          </w:p>
        </w:tc>
        <w:tc>
          <w:tcPr>
            <w:tcW w:w="5329" w:type="dxa"/>
            <w:shd w:val="clear" w:color="auto" w:fill="FFFFFF"/>
            <w:tcMar>
              <w:top w:w="75" w:type="dxa"/>
              <w:left w:w="85" w:type="dxa"/>
              <w:bottom w:w="70" w:type="dxa"/>
              <w:right w:w="85" w:type="dxa"/>
            </w:tcMar>
            <w:vAlign w:val="center"/>
          </w:tcPr>
          <w:p w14:paraId="438D81DB" w14:textId="77777777" w:rsidR="00EA6AD5" w:rsidRDefault="00000000">
            <w:pPr>
              <w:pStyle w:val="TableText"/>
            </w:pPr>
            <w:r>
              <w:rPr>
                <w:color w:val="263B43"/>
              </w:rPr>
              <w:t>Прямой переход и правильный документ</w:t>
            </w:r>
          </w:p>
        </w:tc>
      </w:tr>
      <w:tr w:rsidR="00EA6AD5" w14:paraId="19B3925A" w14:textId="77777777">
        <w:trPr>
          <w:cantSplit/>
          <w:jc w:val="center"/>
        </w:trPr>
        <w:tc>
          <w:tcPr>
            <w:tcW w:w="4422" w:type="dxa"/>
            <w:shd w:val="clear" w:color="auto" w:fill="F3F5F7"/>
            <w:tcMar>
              <w:top w:w="75" w:type="dxa"/>
              <w:left w:w="85" w:type="dxa"/>
              <w:bottom w:w="70" w:type="dxa"/>
              <w:right w:w="85" w:type="dxa"/>
            </w:tcMar>
            <w:vAlign w:val="center"/>
          </w:tcPr>
          <w:p w14:paraId="033E84CD" w14:textId="77777777" w:rsidR="00EA6AD5" w:rsidRDefault="00000000">
            <w:pPr>
              <w:pStyle w:val="TableText"/>
            </w:pPr>
            <w:r>
              <w:rPr>
                <w:color w:val="263B43"/>
              </w:rPr>
              <w:t>Приоритет</w:t>
            </w:r>
          </w:p>
        </w:tc>
        <w:tc>
          <w:tcPr>
            <w:tcW w:w="5329" w:type="dxa"/>
            <w:shd w:val="clear" w:color="auto" w:fill="F3F5F7"/>
            <w:tcMar>
              <w:top w:w="75" w:type="dxa"/>
              <w:left w:w="85" w:type="dxa"/>
              <w:bottom w:w="70" w:type="dxa"/>
              <w:right w:w="85" w:type="dxa"/>
            </w:tcMar>
            <w:vAlign w:val="center"/>
          </w:tcPr>
          <w:p w14:paraId="107954B6" w14:textId="77777777" w:rsidR="00EA6AD5" w:rsidRDefault="00000000">
            <w:pPr>
              <w:pStyle w:val="TableText"/>
            </w:pPr>
            <w:r>
              <w:rPr>
                <w:color w:val="263B43"/>
              </w:rPr>
              <w:t>Обоснован важностью маршрута и числом затронутых страниц</w:t>
            </w:r>
          </w:p>
        </w:tc>
      </w:tr>
    </w:tbl>
    <w:p w14:paraId="19025513" w14:textId="77777777" w:rsidR="00EA6AD5" w:rsidRDefault="00EA6AD5">
      <w:pPr>
        <w:spacing w:after="20" w:line="60" w:lineRule="exact"/>
      </w:pPr>
    </w:p>
    <w:p w14:paraId="09866D3B" w14:textId="77777777" w:rsidR="00EA6AD5" w:rsidRDefault="00000000">
      <w:r>
        <w:t>Не каждое предупреждение инструмента требует немедленного исправления. Например, метатег отсутствует на служебной странице, которая не предназначена для поиска. Сначала оценивается назначение. И наоборот, формально зеленый отчет не гарантирует, что пользователь понимает товар или что выбран правильный canonical.</w:t>
      </w:r>
    </w:p>
    <w:p w14:paraId="0519342C" w14:textId="77777777" w:rsidR="00EA6AD5" w:rsidRDefault="00000000">
      <w:r>
        <w:t>При обсуждении JavaScript не следует просить «убрать весь код ради SEO». Нужна конкретная проблема: данные товара отсутствуют в доступном содержании, ссылка не имеет нормального адреса, важная часть зависит от недоступного ресурса. Разработчик должен получить критерий результата, а не необоснованное требование сменить технологию [4].</w:t>
      </w:r>
    </w:p>
    <w:p w14:paraId="32F33741" w14:textId="77777777" w:rsidR="00EA6AD5" w:rsidRDefault="00000000">
      <w:r>
        <w:t>Журнал версий особенно важен при одновременной работе редакторов, аналитиков и разработчиков. Если в один день изменены навигация, тексты и цены, последующее изменение поисковой посещаемости нельзя приписать только редиректу. Описание пакета изменений сохраняет честность вывода.</w:t>
      </w:r>
    </w:p>
    <w:p w14:paraId="379B8617" w14:textId="77777777" w:rsidR="00EA6AD5" w:rsidRDefault="00000000">
      <w:r>
        <w:t>В учебной работе удобно использовать статусы «подтверждено», «гипотеза», «требует доступа», «исправлено в проекте». Последний статус не означает, что реальная компания внедрила решение. Не следует подменять проектирование фиктивным отчетом о выполненных действиях.</w:t>
      </w:r>
    </w:p>
    <w:p w14:paraId="6473F326" w14:textId="77777777" w:rsidR="00EA6AD5" w:rsidRDefault="00000000">
      <w:pPr>
        <w:pStyle w:val="Callout"/>
        <w:keepLines/>
        <w:pBdr>
          <w:left w:val="single" w:sz="14" w:space="7" w:color="286D73"/>
        </w:pBdr>
        <w:shd w:val="clear" w:color="auto" w:fill="EDF5F5"/>
        <w:ind w:left="125" w:right="113"/>
      </w:pPr>
      <w:r>
        <w:t>Хороший аудит сокращает неопределенность. Он не создает видимость точности за счет длинного перечня технических слов.</w:t>
      </w:r>
    </w:p>
    <w:p w14:paraId="4F43EDFE" w14:textId="3E47165E" w:rsidR="00EA6AD5" w:rsidRDefault="00883784">
      <w:pPr>
        <w:pStyle w:val="1"/>
        <w:pageBreakBefore/>
      </w:pPr>
      <w:r>
        <w:lastRenderedPageBreak/>
        <w:t>П</w:t>
      </w:r>
      <w:r w:rsidR="00000000">
        <w:t>рактика: мини-аудит и карта переезда</w:t>
      </w:r>
    </w:p>
    <w:p w14:paraId="7C0E0668" w14:textId="77777777" w:rsidR="00EA6AD5" w:rsidRDefault="00000000">
      <w:r>
        <w:t>Подготовьте реестр из шести проблем или проверок для выбранного объекта. Минимум две записи должны касаться смысла версий URL, две — доступности или навигации, одна — измерения и одна — рисков релиза. При отсутствии доступа используйте учебный магазин светильников.</w:t>
      </w:r>
    </w:p>
    <w:p w14:paraId="4118BB84" w14:textId="77777777" w:rsidR="00EA6AD5" w:rsidRDefault="00000000">
      <w:r>
        <w:t>Составьте карту соответствий пяти старых и новых адресов. Для каждого объясните: сохраняется ли задача, нужен ли переход, остается ли самостоятельная страница, какие ограничения требуется проверить. Не используйте правило «все на главную». Для одного изменения напишите критерий приемки и условие остановки.</w:t>
      </w:r>
    </w:p>
    <w:p w14:paraId="6CDE9AFB" w14:textId="77777777" w:rsidR="00EA6AD5" w:rsidRDefault="00000000">
      <w:pPr>
        <w:pStyle w:val="21"/>
      </w:pPr>
      <w:r>
        <w:t>Самопроверка</w:t>
      </w:r>
    </w:p>
    <w:p w14:paraId="32EC7BD5" w14:textId="77777777" w:rsidR="00EA6AD5" w:rsidRDefault="00000000">
      <w:r>
        <w:t>1. Почему canonical — не команда обязательного ранжирования? 2. Когда варианты товара нельзя механически объединять? 3. Чем перенос трафика отличается от общего прироста? 4. Что означает неоднозначный результат теста? 5. Какие сведения нужны разработчику для воспроизведения ошибки?</w:t>
      </w:r>
    </w:p>
    <w:p w14:paraId="35575C8B" w14:textId="77777777" w:rsidR="00EA6AD5" w:rsidRDefault="00000000">
      <w:pPr>
        <w:pStyle w:val="21"/>
      </w:pPr>
      <w:r>
        <w:t>Ориентиры ответа</w:t>
      </w:r>
    </w:p>
    <w:p w14:paraId="738602E1" w14:textId="77777777" w:rsidR="00EA6AD5" w:rsidRDefault="00000000">
      <w:r>
        <w:t>Различайте предпочтение основной версии и поведение пользователя. Проверяйте смысловую эквивалентность и жизненный цикл. Отсутствие надежно выявленной разницы не доказывает нулевой эффект. В технической карточке нужны конкретный пример, ожидаемое и фактическое поведение, масштаб и проверка.</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EA6AD5" w14:paraId="10F5BFC3" w14:textId="77777777">
        <w:trPr>
          <w:cantSplit/>
          <w:tblHeader/>
          <w:jc w:val="center"/>
        </w:trPr>
        <w:tc>
          <w:tcPr>
            <w:tcW w:w="7143" w:type="dxa"/>
            <w:shd w:val="clear" w:color="auto" w:fill="17394A"/>
            <w:tcMar>
              <w:top w:w="75" w:type="dxa"/>
              <w:left w:w="85" w:type="dxa"/>
              <w:bottom w:w="70" w:type="dxa"/>
              <w:right w:w="85" w:type="dxa"/>
            </w:tcMar>
            <w:vAlign w:val="center"/>
          </w:tcPr>
          <w:p w14:paraId="77296F64" w14:textId="77777777" w:rsidR="00EA6AD5"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0BA340B3" w14:textId="77777777" w:rsidR="00EA6AD5" w:rsidRDefault="00000000">
            <w:pPr>
              <w:pStyle w:val="TableText"/>
              <w:keepNext/>
            </w:pPr>
            <w:r>
              <w:rPr>
                <w:b/>
                <w:color w:val="FFFFFF"/>
              </w:rPr>
              <w:t>Баллы</w:t>
            </w:r>
          </w:p>
        </w:tc>
      </w:tr>
      <w:tr w:rsidR="00EA6AD5" w14:paraId="2D8DB1DF" w14:textId="77777777">
        <w:trPr>
          <w:cantSplit/>
          <w:jc w:val="center"/>
        </w:trPr>
        <w:tc>
          <w:tcPr>
            <w:tcW w:w="7143" w:type="dxa"/>
            <w:shd w:val="clear" w:color="auto" w:fill="F3F5F7"/>
            <w:tcMar>
              <w:top w:w="75" w:type="dxa"/>
              <w:left w:w="85" w:type="dxa"/>
              <w:bottom w:w="70" w:type="dxa"/>
              <w:right w:w="85" w:type="dxa"/>
            </w:tcMar>
            <w:vAlign w:val="center"/>
          </w:tcPr>
          <w:p w14:paraId="3ECA602D" w14:textId="77777777" w:rsidR="00EA6AD5" w:rsidRDefault="00000000">
            <w:pPr>
              <w:pStyle w:val="TableText"/>
            </w:pPr>
            <w:r>
              <w:rPr>
                <w:color w:val="263B43"/>
              </w:rPr>
              <w:t>Корректность выбора технического средства</w:t>
            </w:r>
          </w:p>
        </w:tc>
        <w:tc>
          <w:tcPr>
            <w:tcW w:w="2608" w:type="dxa"/>
            <w:shd w:val="clear" w:color="auto" w:fill="F3F5F7"/>
            <w:tcMar>
              <w:top w:w="75" w:type="dxa"/>
              <w:left w:w="85" w:type="dxa"/>
              <w:bottom w:w="70" w:type="dxa"/>
              <w:right w:w="85" w:type="dxa"/>
            </w:tcMar>
            <w:vAlign w:val="center"/>
          </w:tcPr>
          <w:p w14:paraId="74D86AFF" w14:textId="77777777" w:rsidR="00EA6AD5" w:rsidRDefault="00000000">
            <w:pPr>
              <w:pStyle w:val="TableText"/>
            </w:pPr>
            <w:r>
              <w:rPr>
                <w:color w:val="263B43"/>
              </w:rPr>
              <w:t>30</w:t>
            </w:r>
          </w:p>
        </w:tc>
      </w:tr>
      <w:tr w:rsidR="00EA6AD5" w14:paraId="096280BA" w14:textId="77777777">
        <w:trPr>
          <w:cantSplit/>
          <w:jc w:val="center"/>
        </w:trPr>
        <w:tc>
          <w:tcPr>
            <w:tcW w:w="7143" w:type="dxa"/>
            <w:shd w:val="clear" w:color="auto" w:fill="FFFFFF"/>
            <w:tcMar>
              <w:top w:w="75" w:type="dxa"/>
              <w:left w:w="85" w:type="dxa"/>
              <w:bottom w:w="70" w:type="dxa"/>
              <w:right w:w="85" w:type="dxa"/>
            </w:tcMar>
            <w:vAlign w:val="center"/>
          </w:tcPr>
          <w:p w14:paraId="2FED8DF5" w14:textId="77777777" w:rsidR="00EA6AD5" w:rsidRDefault="00000000">
            <w:pPr>
              <w:pStyle w:val="TableText"/>
            </w:pPr>
            <w:r>
              <w:rPr>
                <w:color w:val="263B43"/>
              </w:rPr>
              <w:t>Обоснование приоритетов и соответствий</w:t>
            </w:r>
          </w:p>
        </w:tc>
        <w:tc>
          <w:tcPr>
            <w:tcW w:w="2608" w:type="dxa"/>
            <w:shd w:val="clear" w:color="auto" w:fill="FFFFFF"/>
            <w:tcMar>
              <w:top w:w="75" w:type="dxa"/>
              <w:left w:w="85" w:type="dxa"/>
              <w:bottom w:w="70" w:type="dxa"/>
              <w:right w:w="85" w:type="dxa"/>
            </w:tcMar>
            <w:vAlign w:val="center"/>
          </w:tcPr>
          <w:p w14:paraId="476BB098" w14:textId="77777777" w:rsidR="00EA6AD5" w:rsidRDefault="00000000">
            <w:pPr>
              <w:pStyle w:val="TableText"/>
            </w:pPr>
            <w:r>
              <w:rPr>
                <w:color w:val="263B43"/>
              </w:rPr>
              <w:t>30</w:t>
            </w:r>
          </w:p>
        </w:tc>
      </w:tr>
      <w:tr w:rsidR="00EA6AD5" w14:paraId="7ACE7CB0" w14:textId="77777777">
        <w:trPr>
          <w:cantSplit/>
          <w:jc w:val="center"/>
        </w:trPr>
        <w:tc>
          <w:tcPr>
            <w:tcW w:w="7143" w:type="dxa"/>
            <w:shd w:val="clear" w:color="auto" w:fill="F3F5F7"/>
            <w:tcMar>
              <w:top w:w="75" w:type="dxa"/>
              <w:left w:w="85" w:type="dxa"/>
              <w:bottom w:w="70" w:type="dxa"/>
              <w:right w:w="85" w:type="dxa"/>
            </w:tcMar>
            <w:vAlign w:val="center"/>
          </w:tcPr>
          <w:p w14:paraId="22F11A51" w14:textId="77777777" w:rsidR="00EA6AD5" w:rsidRDefault="00000000">
            <w:pPr>
              <w:pStyle w:val="TableText"/>
            </w:pPr>
            <w:r>
              <w:rPr>
                <w:color w:val="263B43"/>
              </w:rPr>
              <w:t>Воспроизводимость и контроль релиза</w:t>
            </w:r>
          </w:p>
        </w:tc>
        <w:tc>
          <w:tcPr>
            <w:tcW w:w="2608" w:type="dxa"/>
            <w:shd w:val="clear" w:color="auto" w:fill="F3F5F7"/>
            <w:tcMar>
              <w:top w:w="75" w:type="dxa"/>
              <w:left w:w="85" w:type="dxa"/>
              <w:bottom w:w="70" w:type="dxa"/>
              <w:right w:w="85" w:type="dxa"/>
            </w:tcMar>
            <w:vAlign w:val="center"/>
          </w:tcPr>
          <w:p w14:paraId="168B587D" w14:textId="77777777" w:rsidR="00EA6AD5" w:rsidRDefault="00000000">
            <w:pPr>
              <w:pStyle w:val="TableText"/>
            </w:pPr>
            <w:r>
              <w:rPr>
                <w:color w:val="263B43"/>
              </w:rPr>
              <w:t>25</w:t>
            </w:r>
          </w:p>
        </w:tc>
      </w:tr>
      <w:tr w:rsidR="00EA6AD5" w14:paraId="2D71A0E9" w14:textId="77777777">
        <w:trPr>
          <w:cantSplit/>
          <w:jc w:val="center"/>
        </w:trPr>
        <w:tc>
          <w:tcPr>
            <w:tcW w:w="7143" w:type="dxa"/>
            <w:shd w:val="clear" w:color="auto" w:fill="FFFFFF"/>
            <w:tcMar>
              <w:top w:w="75" w:type="dxa"/>
              <w:left w:w="85" w:type="dxa"/>
              <w:bottom w:w="70" w:type="dxa"/>
              <w:right w:w="85" w:type="dxa"/>
            </w:tcMar>
            <w:vAlign w:val="center"/>
          </w:tcPr>
          <w:p w14:paraId="5E925E80" w14:textId="77777777" w:rsidR="00EA6AD5" w:rsidRDefault="00000000">
            <w:pPr>
              <w:pStyle w:val="TableText"/>
            </w:pPr>
            <w:r>
              <w:rPr>
                <w:color w:val="263B43"/>
              </w:rPr>
              <w:t>Ясность ограничений и источники</w:t>
            </w:r>
          </w:p>
        </w:tc>
        <w:tc>
          <w:tcPr>
            <w:tcW w:w="2608" w:type="dxa"/>
            <w:shd w:val="clear" w:color="auto" w:fill="FFFFFF"/>
            <w:tcMar>
              <w:top w:w="75" w:type="dxa"/>
              <w:left w:w="85" w:type="dxa"/>
              <w:bottom w:w="70" w:type="dxa"/>
              <w:right w:w="85" w:type="dxa"/>
            </w:tcMar>
            <w:vAlign w:val="center"/>
          </w:tcPr>
          <w:p w14:paraId="30404A5D" w14:textId="77777777" w:rsidR="00EA6AD5" w:rsidRDefault="00000000">
            <w:pPr>
              <w:pStyle w:val="TableText"/>
            </w:pPr>
            <w:r>
              <w:rPr>
                <w:color w:val="263B43"/>
              </w:rPr>
              <w:t>15</w:t>
            </w:r>
          </w:p>
        </w:tc>
      </w:tr>
    </w:tbl>
    <w:p w14:paraId="7B36DD4A" w14:textId="77777777" w:rsidR="00EA6AD5" w:rsidRDefault="00EA6AD5">
      <w:pPr>
        <w:spacing w:after="20" w:line="60" w:lineRule="exact"/>
      </w:pPr>
    </w:p>
    <w:p w14:paraId="02D44723" w14:textId="77777777" w:rsidR="00EA6AD5" w:rsidRDefault="00000000">
      <w:r>
        <w:t>Форма сдачи: 2–3 таблицы и 600–900 слов. В заключении сопоставьте свой план с кейсом вариантов товара: что переносится, что зависит от конкретного сайта и каких данных не хватает. Исправления в чужом рабочем ресурсе не выполняются.</w:t>
      </w:r>
    </w:p>
    <w:p w14:paraId="24B9C8E2" w14:textId="77777777" w:rsidR="00EA6AD5" w:rsidRDefault="00000000">
      <w:r>
        <w:t>На следующей неделе мы перейдем от доступности и согласованности документов к скорости и удобству их использования. Эти задачи связаны, но хороший технический статус сам по себе не гарантирует хороший пользовательский опыт.</w:t>
      </w:r>
    </w:p>
    <w:p w14:paraId="065C3E4E" w14:textId="77777777" w:rsidR="00EA6AD5" w:rsidRDefault="00000000">
      <w:pPr>
        <w:pStyle w:val="1"/>
        <w:pageBreakBefore/>
      </w:pPr>
      <w:r>
        <w:lastRenderedPageBreak/>
        <w:t>Синтез темы и источники</w:t>
      </w:r>
    </w:p>
    <w:p w14:paraId="1BCEE34C" w14:textId="77777777" w:rsidR="00EA6AD5" w:rsidRDefault="00000000">
      <w:r>
        <w:t>Техническое SEO требует согласования смысла и реализации. Инструмент выбирают по назначению страницы, а не по популярности приема. Кейс canonical показывает зависимость эффекта от структуры товарных вариантов. Безопасная миграция сохраняет полезные соответствия, позволяет проверить изменения и заранее определяет реакцию на ошибки.</w:t>
      </w:r>
    </w:p>
    <w:p w14:paraId="6AF28D7C" w14:textId="77777777" w:rsidR="00EA6AD5" w:rsidRDefault="00000000">
      <w:pPr>
        <w:pStyle w:val="21"/>
      </w:pPr>
      <w:r>
        <w:t>Мини-глоссарий</w:t>
      </w:r>
    </w:p>
    <w:p w14:paraId="762AB4B2" w14:textId="77777777" w:rsidR="00EA6AD5" w:rsidRDefault="00000000">
      <w:pPr>
        <w:spacing w:after="100" w:line="308" w:lineRule="exact"/>
      </w:pPr>
      <w:r>
        <w:rPr>
          <w:b/>
          <w:color w:val="17394A"/>
          <w:sz w:val="24"/>
        </w:rPr>
        <w:t xml:space="preserve">Canonical — </w:t>
      </w:r>
      <w:r>
        <w:rPr>
          <w:sz w:val="24"/>
        </w:rPr>
        <w:t>Предпочтительная основная версия среди схожих документов.</w:t>
      </w:r>
    </w:p>
    <w:p w14:paraId="5F630B2C" w14:textId="77777777" w:rsidR="00EA6AD5" w:rsidRDefault="00000000">
      <w:pPr>
        <w:spacing w:after="100" w:line="308" w:lineRule="exact"/>
      </w:pPr>
      <w:r>
        <w:rPr>
          <w:b/>
          <w:color w:val="17394A"/>
          <w:sz w:val="24"/>
        </w:rPr>
        <w:t xml:space="preserve">Редирект — </w:t>
      </w:r>
      <w:r>
        <w:rPr>
          <w:sz w:val="24"/>
        </w:rPr>
        <w:t>Перенаправление запроса на другой адрес.</w:t>
      </w:r>
    </w:p>
    <w:p w14:paraId="75B07039" w14:textId="77777777" w:rsidR="00EA6AD5" w:rsidRDefault="00000000">
      <w:pPr>
        <w:spacing w:after="100" w:line="308" w:lineRule="exact"/>
      </w:pPr>
      <w:r>
        <w:rPr>
          <w:b/>
          <w:color w:val="17394A"/>
          <w:sz w:val="24"/>
        </w:rPr>
        <w:t xml:space="preserve">Дубль — </w:t>
      </w:r>
      <w:r>
        <w:rPr>
          <w:sz w:val="24"/>
        </w:rPr>
        <w:t>Документ, существенно повторяющий другой по содержанию и назначению.</w:t>
      </w:r>
    </w:p>
    <w:p w14:paraId="0CCE215D" w14:textId="77777777" w:rsidR="00EA6AD5" w:rsidRDefault="00000000">
      <w:pPr>
        <w:spacing w:after="100" w:line="308" w:lineRule="exact"/>
      </w:pPr>
      <w:r>
        <w:rPr>
          <w:b/>
          <w:color w:val="17394A"/>
          <w:sz w:val="24"/>
        </w:rPr>
        <w:t xml:space="preserve">Миграция — </w:t>
      </w:r>
      <w:r>
        <w:rPr>
          <w:sz w:val="24"/>
        </w:rPr>
        <w:t>Организованное изменение адресов, структуры или платформы.</w:t>
      </w:r>
    </w:p>
    <w:p w14:paraId="5AE29A91" w14:textId="77777777" w:rsidR="00EA6AD5" w:rsidRDefault="00000000">
      <w:pPr>
        <w:spacing w:after="100" w:line="308" w:lineRule="exact"/>
      </w:pPr>
      <w:r>
        <w:rPr>
          <w:b/>
          <w:color w:val="17394A"/>
          <w:sz w:val="24"/>
        </w:rPr>
        <w:t xml:space="preserve">Критерий приемки — </w:t>
      </w:r>
      <w:r>
        <w:rPr>
          <w:sz w:val="24"/>
        </w:rPr>
        <w:t>Наблюдаемое условие, подтверждающее выполнение задачи.</w:t>
      </w:r>
    </w:p>
    <w:p w14:paraId="425085D7" w14:textId="77777777" w:rsidR="00EA6AD5" w:rsidRDefault="00000000">
      <w:pPr>
        <w:spacing w:after="100" w:line="308" w:lineRule="exact"/>
      </w:pPr>
      <w:r>
        <w:rPr>
          <w:b/>
          <w:color w:val="17394A"/>
          <w:sz w:val="24"/>
        </w:rPr>
        <w:t xml:space="preserve">План восстановления — </w:t>
      </w:r>
      <w:r>
        <w:rPr>
          <w:sz w:val="24"/>
        </w:rPr>
        <w:t>Порядок реакции на сбой или неприемлемые последствия релиза.</w:t>
      </w:r>
    </w:p>
    <w:p w14:paraId="262B68CA" w14:textId="77777777" w:rsidR="00EA6AD5" w:rsidRPr="00883784" w:rsidRDefault="00000000">
      <w:pPr>
        <w:pStyle w:val="21"/>
        <w:rPr>
          <w:lang w:val="en-US"/>
        </w:rPr>
      </w:pPr>
      <w:r>
        <w:t>Источники</w:t>
      </w:r>
      <w:r w:rsidRPr="00883784">
        <w:rPr>
          <w:lang w:val="en-US"/>
        </w:rPr>
        <w:t xml:space="preserve"> </w:t>
      </w:r>
      <w:r>
        <w:t>и</w:t>
      </w:r>
      <w:r w:rsidRPr="00883784">
        <w:rPr>
          <w:lang w:val="en-US"/>
        </w:rPr>
        <w:t xml:space="preserve"> </w:t>
      </w:r>
      <w:r>
        <w:t>чтение</w:t>
      </w:r>
    </w:p>
    <w:p w14:paraId="6A5FE57F" w14:textId="77777777" w:rsidR="00EA6AD5" w:rsidRPr="00883784" w:rsidRDefault="00000000">
      <w:pPr>
        <w:pStyle w:val="Source"/>
        <w:rPr>
          <w:lang w:val="en-US"/>
        </w:rPr>
      </w:pPr>
      <w:r w:rsidRPr="00883784">
        <w:rPr>
          <w:b/>
          <w:color w:val="17394A"/>
          <w:lang w:val="en-US"/>
        </w:rPr>
        <w:t xml:space="preserve">[1] </w:t>
      </w:r>
      <w:hyperlink r:id="rId8">
        <w:proofErr w:type="spellStart"/>
        <w:r w:rsidRPr="00883784">
          <w:rPr>
            <w:color w:val="286D73"/>
            <w:u w:val="single"/>
            <w:lang w:val="en-US"/>
          </w:rPr>
          <w:t>SearchPilot</w:t>
        </w:r>
        <w:proofErr w:type="spellEnd"/>
        <w:r w:rsidRPr="00883784">
          <w:rPr>
            <w:color w:val="286D73"/>
            <w:u w:val="single"/>
            <w:lang w:val="en-US"/>
          </w:rPr>
          <w:t xml:space="preserve">. </w:t>
        </w:r>
        <w:proofErr w:type="spellStart"/>
        <w:r w:rsidRPr="00883784">
          <w:rPr>
            <w:color w:val="286D73"/>
            <w:u w:val="single"/>
            <w:lang w:val="en-US"/>
          </w:rPr>
          <w:t>Canonicalising</w:t>
        </w:r>
        <w:proofErr w:type="spellEnd"/>
        <w:r w:rsidRPr="00883784">
          <w:rPr>
            <w:color w:val="286D73"/>
            <w:u w:val="single"/>
            <w:lang w:val="en-US"/>
          </w:rPr>
          <w:t xml:space="preserve"> to product variation pages. 18.01.2024.</w:t>
        </w:r>
      </w:hyperlink>
    </w:p>
    <w:p w14:paraId="7BF42A5A" w14:textId="77777777" w:rsidR="00EA6AD5" w:rsidRPr="00883784" w:rsidRDefault="00000000">
      <w:pPr>
        <w:pStyle w:val="Source"/>
        <w:rPr>
          <w:lang w:val="en-US"/>
        </w:rPr>
      </w:pPr>
      <w:r w:rsidRPr="00883784">
        <w:rPr>
          <w:b/>
          <w:color w:val="17394A"/>
          <w:lang w:val="en-US"/>
        </w:rPr>
        <w:t xml:space="preserve">[2] </w:t>
      </w:r>
      <w:hyperlink r:id="rId9">
        <w:r w:rsidRPr="00883784">
          <w:rPr>
            <w:color w:val="286D73"/>
            <w:u w:val="single"/>
            <w:lang w:val="en-US"/>
          </w:rPr>
          <w:t>Google Search Central. How to specify a canonical URL.</w:t>
        </w:r>
      </w:hyperlink>
    </w:p>
    <w:p w14:paraId="6109AA24" w14:textId="77777777" w:rsidR="00EA6AD5" w:rsidRPr="00883784" w:rsidRDefault="00000000">
      <w:pPr>
        <w:pStyle w:val="Source"/>
        <w:rPr>
          <w:lang w:val="en-US"/>
        </w:rPr>
      </w:pPr>
      <w:r w:rsidRPr="00883784">
        <w:rPr>
          <w:b/>
          <w:color w:val="17394A"/>
          <w:lang w:val="en-US"/>
        </w:rPr>
        <w:t xml:space="preserve">[3] </w:t>
      </w:r>
      <w:hyperlink r:id="rId10">
        <w:r w:rsidRPr="00883784">
          <w:rPr>
            <w:color w:val="286D73"/>
            <w:u w:val="single"/>
            <w:lang w:val="en-US"/>
          </w:rPr>
          <w:t>Google Search Central. Site moves with URL changes.</w:t>
        </w:r>
      </w:hyperlink>
    </w:p>
    <w:p w14:paraId="4AD11333" w14:textId="77777777" w:rsidR="00EA6AD5" w:rsidRPr="00883784" w:rsidRDefault="00000000">
      <w:pPr>
        <w:pStyle w:val="Source"/>
        <w:rPr>
          <w:lang w:val="en-US"/>
        </w:rPr>
      </w:pPr>
      <w:r w:rsidRPr="00883784">
        <w:rPr>
          <w:b/>
          <w:color w:val="17394A"/>
          <w:lang w:val="en-US"/>
        </w:rPr>
        <w:t xml:space="preserve">[4] </w:t>
      </w:r>
      <w:hyperlink r:id="rId11">
        <w:r w:rsidRPr="00883784">
          <w:rPr>
            <w:color w:val="286D73"/>
            <w:u w:val="single"/>
            <w:lang w:val="en-US"/>
          </w:rPr>
          <w:t>Google Search Central. JavaScript SEO basics.</w:t>
        </w:r>
      </w:hyperlink>
    </w:p>
    <w:p w14:paraId="7F6749A9" w14:textId="4831ECCA" w:rsidR="00EA6AD5" w:rsidRDefault="00EA6AD5">
      <w:pPr>
        <w:pStyle w:val="FirstBody"/>
      </w:pPr>
    </w:p>
    <w:sectPr w:rsidR="00EA6AD5" w:rsidSect="00034616">
      <w:headerReference w:type="default" r:id="rId12"/>
      <w:footerReference w:type="default" r:id="rId13"/>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2CDC" w14:textId="77777777" w:rsidR="008D55A4" w:rsidRDefault="008D55A4">
      <w:pPr>
        <w:spacing w:after="0" w:line="240" w:lineRule="auto"/>
      </w:pPr>
      <w:r>
        <w:separator/>
      </w:r>
    </w:p>
  </w:endnote>
  <w:endnote w:type="continuationSeparator" w:id="0">
    <w:p w14:paraId="38C02311" w14:textId="77777777" w:rsidR="008D55A4" w:rsidRDefault="008D5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638A" w14:textId="2F7BEB08" w:rsidR="00EA6AD5" w:rsidRDefault="00EA6AD5">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0F88" w14:textId="77777777" w:rsidR="008D55A4" w:rsidRDefault="008D55A4">
      <w:pPr>
        <w:spacing w:after="0" w:line="240" w:lineRule="auto"/>
      </w:pPr>
      <w:r>
        <w:separator/>
      </w:r>
    </w:p>
  </w:footnote>
  <w:footnote w:type="continuationSeparator" w:id="0">
    <w:p w14:paraId="4A00C001" w14:textId="77777777" w:rsidR="008D55A4" w:rsidRDefault="008D5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AE3C" w14:textId="7ED794FF" w:rsidR="00EA6AD5" w:rsidRDefault="00EA6AD5">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81043518">
    <w:abstractNumId w:val="8"/>
  </w:num>
  <w:num w:numId="2" w16cid:durableId="488639980">
    <w:abstractNumId w:val="6"/>
  </w:num>
  <w:num w:numId="3" w16cid:durableId="706297095">
    <w:abstractNumId w:val="5"/>
  </w:num>
  <w:num w:numId="4" w16cid:durableId="1295212355">
    <w:abstractNumId w:val="4"/>
  </w:num>
  <w:num w:numId="5" w16cid:durableId="1673727188">
    <w:abstractNumId w:val="7"/>
  </w:num>
  <w:num w:numId="6" w16cid:durableId="335426448">
    <w:abstractNumId w:val="3"/>
  </w:num>
  <w:num w:numId="7" w16cid:durableId="958410347">
    <w:abstractNumId w:val="2"/>
  </w:num>
  <w:num w:numId="8" w16cid:durableId="1574658624">
    <w:abstractNumId w:val="1"/>
  </w:num>
  <w:num w:numId="9" w16cid:durableId="150053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A5226"/>
    <w:rsid w:val="00883784"/>
    <w:rsid w:val="008D55A4"/>
    <w:rsid w:val="00AA1D8D"/>
    <w:rsid w:val="00B47730"/>
    <w:rsid w:val="00CB0664"/>
    <w:rsid w:val="00EA6A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B64A3"/>
  <w14:defaultImageDpi w14:val="300"/>
  <w15:docId w15:val="{4252B1E4-11CF-4821-9ED6-C59DA035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archpilot.com/resources/case-studies/canonicalising-to-product-variation-pag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elopers.google.com/search/docs/crawling-indexing/javascript/javascript-seo-basi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evelopers.google.com/search/docs/crawling-indexing/site-move-with-url-changes" TargetMode="External"/><Relationship Id="rId4" Type="http://schemas.openxmlformats.org/officeDocument/2006/relationships/settings" Target="settings.xml"/><Relationship Id="rId9" Type="http://schemas.openxmlformats.org/officeDocument/2006/relationships/hyperlink" Target="https://developers.google.com/search/docs/crawling-indexing/consolidate-duplicate-ur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1897</Words>
  <Characters>10816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Технический SEO-аудит: дубли, canonical, редиректы и миграции</dc:title>
  <dc:subject>Поисковая оптимизация и маркетинг — лекция 6</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2026-09-28T13:00:00Z</dcterms:modified>
  <cp:category/>
</cp:coreProperties>
</file>