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CD580" w14:textId="77777777" w:rsidR="00E94563" w:rsidRPr="0038572F" w:rsidRDefault="00000000">
      <w:pPr>
        <w:pStyle w:val="aa"/>
        <w:rPr>
          <w:lang w:val="ru-RU"/>
        </w:rPr>
      </w:pPr>
      <w:r w:rsidRPr="0038572F">
        <w:rPr>
          <w:lang w:val="ru-RU"/>
        </w:rPr>
        <w:t>Проектирование и оценка стратегии управления поведением потребителей</w:t>
      </w:r>
    </w:p>
    <w:p w14:paraId="51177BEC" w14:textId="77777777" w:rsidR="00E94563" w:rsidRPr="0038572F" w:rsidRDefault="00000000">
      <w:pPr>
        <w:pStyle w:val="Small"/>
        <w:rPr>
          <w:lang w:val="ru-RU"/>
        </w:rPr>
      </w:pPr>
      <w:r w:rsidRPr="0038572F">
        <w:rPr>
          <w:lang w:val="ru-RU"/>
        </w:rPr>
        <w:t>Лекция 15 • Неделя 15 • Курс «Управление поведением потребителей на рынке»</w:t>
      </w:r>
    </w:p>
    <w:p w14:paraId="3CD75E7A" w14:textId="77777777" w:rsidR="00E94563" w:rsidRPr="0038572F" w:rsidRDefault="00000000">
      <w:pPr>
        <w:pStyle w:val="21"/>
        <w:rPr>
          <w:lang w:val="ru-RU"/>
        </w:rPr>
      </w:pPr>
      <w:r w:rsidRPr="0038572F">
        <w:rPr>
          <w:lang w:val="ru-RU"/>
        </w:rPr>
        <w:t>Вопросы лекции</w:t>
      </w:r>
    </w:p>
    <w:p w14:paraId="2D504371" w14:textId="77777777" w:rsidR="00E94563" w:rsidRPr="0038572F" w:rsidRDefault="00000000">
      <w:pPr>
        <w:pStyle w:val="Question"/>
        <w:rPr>
          <w:lang w:val="ru-RU"/>
        </w:rPr>
      </w:pPr>
      <w:r w:rsidRPr="0038572F">
        <w:rPr>
          <w:lang w:val="ru-RU"/>
        </w:rPr>
        <w:t>1. Как связать диагноз, целевое поведение и инструменты?</w:t>
      </w:r>
    </w:p>
    <w:p w14:paraId="7B3806B6" w14:textId="77777777" w:rsidR="00E94563" w:rsidRPr="0038572F" w:rsidRDefault="00000000">
      <w:pPr>
        <w:pStyle w:val="Question"/>
        <w:rPr>
          <w:lang w:val="ru-RU"/>
        </w:rPr>
      </w:pPr>
      <w:r w:rsidRPr="0038572F">
        <w:rPr>
          <w:lang w:val="ru-RU"/>
        </w:rPr>
        <w:t>2. Как проектировать проверяемые гипотезы и эксперименты?</w:t>
      </w:r>
    </w:p>
    <w:p w14:paraId="2F666AF4" w14:textId="77777777" w:rsidR="00E94563" w:rsidRPr="0038572F" w:rsidRDefault="00000000">
      <w:pPr>
        <w:pStyle w:val="Question"/>
        <w:rPr>
          <w:lang w:val="ru-RU"/>
        </w:rPr>
      </w:pPr>
      <w:r w:rsidRPr="0038572F">
        <w:rPr>
          <w:lang w:val="ru-RU"/>
        </w:rPr>
        <w:t>3. Как выбирать основные и защитные показатели?</w:t>
      </w:r>
    </w:p>
    <w:p w14:paraId="0721EFC8" w14:textId="77777777" w:rsidR="00E94563" w:rsidRPr="0038572F" w:rsidRDefault="00000000">
      <w:pPr>
        <w:pStyle w:val="Question"/>
        <w:rPr>
          <w:lang w:val="ru-RU"/>
        </w:rPr>
      </w:pPr>
      <w:r w:rsidRPr="0038572F">
        <w:rPr>
          <w:lang w:val="ru-RU"/>
        </w:rPr>
        <w:t>4. Как оценивать дополнительный эффект и экономику?</w:t>
      </w:r>
    </w:p>
    <w:p w14:paraId="3BF876AA" w14:textId="77777777" w:rsidR="00E94563" w:rsidRPr="0038572F" w:rsidRDefault="00000000">
      <w:pPr>
        <w:pStyle w:val="Question"/>
        <w:rPr>
          <w:lang w:val="ru-RU"/>
        </w:rPr>
      </w:pPr>
      <w:r w:rsidRPr="0038572F">
        <w:rPr>
          <w:lang w:val="ru-RU"/>
        </w:rPr>
        <w:t>5. Как подготовить итоговый проект и решение о масштабировании?</w:t>
      </w:r>
    </w:p>
    <w:p w14:paraId="499BB6C2" w14:textId="77777777" w:rsidR="00E94563" w:rsidRPr="0038572F" w:rsidRDefault="00000000">
      <w:pPr>
        <w:pStyle w:val="1"/>
        <w:pageBreakBefore/>
        <w:rPr>
          <w:lang w:val="ru-RU"/>
        </w:rPr>
      </w:pPr>
      <w:r w:rsidRPr="0038572F">
        <w:rPr>
          <w:lang w:val="ru-RU"/>
        </w:rPr>
        <w:lastRenderedPageBreak/>
        <w:t>1. От диагноза к целевому поведению</w:t>
      </w:r>
    </w:p>
    <w:p w14:paraId="75BF170D" w14:textId="77777777" w:rsidR="00E94563" w:rsidRPr="0038572F" w:rsidRDefault="00000000">
      <w:pPr>
        <w:rPr>
          <w:lang w:val="ru-RU"/>
        </w:rPr>
      </w:pPr>
      <w:r w:rsidRPr="0038572F">
        <w:rPr>
          <w:lang w:val="ru-RU"/>
        </w:rPr>
        <w:t>Общий запрос «нужно больше продаж» переводят в наблюдаемую ситуацию: кто выполняет какое действие, в каком контексте, какие барьеры обнаружены и почему изменение полезно? Без уточнений инструменты выбираются по привычке.</w:t>
      </w:r>
    </w:p>
    <w:p w14:paraId="3EE4411D" w14:textId="77777777" w:rsidR="00E94563" w:rsidRPr="0038572F" w:rsidRDefault="00000000">
      <w:pPr>
        <w:pStyle w:val="21"/>
        <w:rPr>
          <w:lang w:val="ru-RU"/>
        </w:rPr>
      </w:pPr>
      <w:r w:rsidRPr="0038572F">
        <w:rPr>
          <w:lang w:val="ru-RU"/>
        </w:rPr>
        <w:t>Формулировка проблемы</w:t>
      </w:r>
    </w:p>
    <w:p w14:paraId="55A2C4E2" w14:textId="77777777" w:rsidR="00E94563" w:rsidRPr="0038572F" w:rsidRDefault="00000000">
      <w:pPr>
        <w:rPr>
          <w:lang w:val="ru-RU"/>
        </w:rPr>
      </w:pPr>
      <w:r w:rsidRPr="0038572F">
        <w:rPr>
          <w:lang w:val="ru-RU"/>
        </w:rPr>
        <w:t>Нужно различать бизнес-симптом, потребительское затруднение и предполагаемую причину. Снижение заказов — симптом; невозможность сравнить совместимость — затруднение; скрытое описание характеристик — гипотеза причины. Для последней необходимы наблюдения. Нельзя начинать проект с уверенного объяснения, основанного только на предпочтениях команды.</w:t>
      </w:r>
    </w:p>
    <w:p w14:paraId="6067F9A7" w14:textId="77777777" w:rsidR="00E94563" w:rsidRPr="0038572F" w:rsidRDefault="00000000">
      <w:pPr>
        <w:rPr>
          <w:lang w:val="ru-RU"/>
        </w:rPr>
      </w:pPr>
      <w:r w:rsidRPr="0038572F">
        <w:rPr>
          <w:lang w:val="ru-RU"/>
        </w:rPr>
        <w:t xml:space="preserve">Подход </w:t>
      </w:r>
      <w:r>
        <w:t>OECD</w:t>
      </w:r>
      <w:r w:rsidRPr="0038572F">
        <w:rPr>
          <w:lang w:val="ru-RU"/>
        </w:rPr>
        <w:t xml:space="preserve"> </w:t>
      </w:r>
      <w:r>
        <w:t>BASIC</w:t>
      </w:r>
      <w:r w:rsidRPr="0038572F">
        <w:rPr>
          <w:lang w:val="ru-RU"/>
        </w:rPr>
        <w:t xml:space="preserve"> предлагает систематически соединять анализ поведения, разработку вмешательства, проверку и этическую оценку [2]. Здесь эта логика адаптируется к небольшому учебному рыночному проекту; она не заменяет исследование конкретной ситуации.</w:t>
      </w:r>
    </w:p>
    <w:tbl>
      <w:tblPr>
        <w:tblW w:w="0" w:type="auto"/>
        <w:jc w:val="center"/>
        <w:tblLayout w:type="fixed"/>
        <w:tblLook w:val="04A0" w:firstRow="1" w:lastRow="0" w:firstColumn="1" w:lastColumn="0" w:noHBand="0" w:noVBand="1"/>
      </w:tblPr>
      <w:tblGrid>
        <w:gridCol w:w="2154"/>
        <w:gridCol w:w="3402"/>
        <w:gridCol w:w="3855"/>
      </w:tblGrid>
      <w:tr w:rsidR="00E94563" w14:paraId="70B3D9FA" w14:textId="77777777">
        <w:trPr>
          <w:cantSplit/>
          <w:tblHeader/>
          <w:jc w:val="center"/>
        </w:trPr>
        <w:tc>
          <w:tcPr>
            <w:tcW w:w="2154" w:type="dxa"/>
            <w:shd w:val="clear" w:color="auto" w:fill="254656"/>
            <w:tcMar>
              <w:top w:w="85" w:type="dxa"/>
              <w:left w:w="105" w:type="dxa"/>
              <w:bottom w:w="85" w:type="dxa"/>
              <w:right w:w="105" w:type="dxa"/>
            </w:tcMar>
            <w:vAlign w:val="center"/>
          </w:tcPr>
          <w:p w14:paraId="0FE1568F" w14:textId="77777777" w:rsidR="00E94563" w:rsidRDefault="00000000">
            <w:pPr>
              <w:pStyle w:val="TableText"/>
            </w:pPr>
            <w:proofErr w:type="spellStart"/>
            <w:r>
              <w:rPr>
                <w:rFonts w:eastAsia="Arial" w:cs="Arial"/>
                <w:b/>
                <w:color w:val="FFFFFF"/>
              </w:rPr>
              <w:t>Элемент</w:t>
            </w:r>
            <w:proofErr w:type="spellEnd"/>
            <w:r>
              <w:rPr>
                <w:rFonts w:eastAsia="Arial" w:cs="Arial"/>
                <w:b/>
                <w:color w:val="FFFFFF"/>
              </w:rPr>
              <w:t xml:space="preserve"> </w:t>
            </w:r>
            <w:proofErr w:type="spellStart"/>
            <w:r>
              <w:rPr>
                <w:rFonts w:eastAsia="Arial" w:cs="Arial"/>
                <w:b/>
                <w:color w:val="FFFFFF"/>
              </w:rPr>
              <w:t>стратегии</w:t>
            </w:r>
            <w:proofErr w:type="spellEnd"/>
          </w:p>
        </w:tc>
        <w:tc>
          <w:tcPr>
            <w:tcW w:w="3402" w:type="dxa"/>
            <w:shd w:val="clear" w:color="auto" w:fill="254656"/>
            <w:tcMar>
              <w:top w:w="85" w:type="dxa"/>
              <w:left w:w="105" w:type="dxa"/>
              <w:bottom w:w="85" w:type="dxa"/>
              <w:right w:w="105" w:type="dxa"/>
            </w:tcMar>
            <w:vAlign w:val="center"/>
          </w:tcPr>
          <w:p w14:paraId="52C26C16" w14:textId="77777777" w:rsidR="00E94563" w:rsidRDefault="00000000">
            <w:pPr>
              <w:pStyle w:val="TableText"/>
            </w:pPr>
            <w:r>
              <w:rPr>
                <w:rFonts w:eastAsia="Arial" w:cs="Arial"/>
                <w:b/>
                <w:color w:val="FFFFFF"/>
              </w:rPr>
              <w:t>Пример формулировки</w:t>
            </w:r>
          </w:p>
        </w:tc>
        <w:tc>
          <w:tcPr>
            <w:tcW w:w="3855" w:type="dxa"/>
            <w:shd w:val="clear" w:color="auto" w:fill="254656"/>
            <w:tcMar>
              <w:top w:w="85" w:type="dxa"/>
              <w:left w:w="105" w:type="dxa"/>
              <w:bottom w:w="85" w:type="dxa"/>
              <w:right w:w="105" w:type="dxa"/>
            </w:tcMar>
            <w:vAlign w:val="center"/>
          </w:tcPr>
          <w:p w14:paraId="07B9746B" w14:textId="77777777" w:rsidR="00E94563" w:rsidRDefault="00000000">
            <w:pPr>
              <w:pStyle w:val="TableText"/>
            </w:pPr>
            <w:r>
              <w:rPr>
                <w:rFonts w:eastAsia="Arial" w:cs="Arial"/>
                <w:b/>
                <w:color w:val="FFFFFF"/>
              </w:rPr>
              <w:t>Основание проверки</w:t>
            </w:r>
          </w:p>
        </w:tc>
      </w:tr>
      <w:tr w:rsidR="00E94563" w14:paraId="4CF12DE2" w14:textId="77777777">
        <w:trPr>
          <w:cantSplit/>
          <w:jc w:val="center"/>
        </w:trPr>
        <w:tc>
          <w:tcPr>
            <w:tcW w:w="2154" w:type="dxa"/>
            <w:shd w:val="clear" w:color="auto" w:fill="F0F5F7"/>
            <w:tcMar>
              <w:top w:w="85" w:type="dxa"/>
              <w:left w:w="105" w:type="dxa"/>
              <w:bottom w:w="85" w:type="dxa"/>
              <w:right w:w="105" w:type="dxa"/>
            </w:tcMar>
            <w:vAlign w:val="center"/>
          </w:tcPr>
          <w:p w14:paraId="3EBE32FF" w14:textId="77777777" w:rsidR="00E94563" w:rsidRDefault="00000000">
            <w:pPr>
              <w:pStyle w:val="TableText"/>
            </w:pPr>
            <w:r>
              <w:rPr>
                <w:rFonts w:eastAsia="Arial" w:cs="Arial"/>
                <w:color w:val="243B48"/>
              </w:rPr>
              <w:t>Проблема</w:t>
            </w:r>
          </w:p>
        </w:tc>
        <w:tc>
          <w:tcPr>
            <w:tcW w:w="3402" w:type="dxa"/>
            <w:shd w:val="clear" w:color="auto" w:fill="F0F5F7"/>
            <w:tcMar>
              <w:top w:w="85" w:type="dxa"/>
              <w:left w:w="105" w:type="dxa"/>
              <w:bottom w:w="85" w:type="dxa"/>
              <w:right w:w="105" w:type="dxa"/>
            </w:tcMar>
            <w:vAlign w:val="center"/>
          </w:tcPr>
          <w:p w14:paraId="21B73F20" w14:textId="77777777" w:rsidR="00E94563" w:rsidRDefault="00000000">
            <w:pPr>
              <w:pStyle w:val="TableText"/>
            </w:pPr>
            <w:r>
              <w:rPr>
                <w:rFonts w:eastAsia="Arial" w:cs="Arial"/>
                <w:color w:val="243B48"/>
              </w:rPr>
              <w:t>Пользователь ошибается в совместимости</w:t>
            </w:r>
          </w:p>
        </w:tc>
        <w:tc>
          <w:tcPr>
            <w:tcW w:w="3855" w:type="dxa"/>
            <w:shd w:val="clear" w:color="auto" w:fill="F0F5F7"/>
            <w:tcMar>
              <w:top w:w="85" w:type="dxa"/>
              <w:left w:w="105" w:type="dxa"/>
              <w:bottom w:w="85" w:type="dxa"/>
              <w:right w:w="105" w:type="dxa"/>
            </w:tcMar>
            <w:vAlign w:val="center"/>
          </w:tcPr>
          <w:p w14:paraId="0DFD63FA" w14:textId="77777777" w:rsidR="00E94563" w:rsidRDefault="00000000">
            <w:pPr>
              <w:pStyle w:val="TableText"/>
            </w:pPr>
            <w:r>
              <w:rPr>
                <w:rFonts w:eastAsia="Arial" w:cs="Arial"/>
                <w:color w:val="243B48"/>
              </w:rPr>
              <w:t>Наблюдение и причины возвратов</w:t>
            </w:r>
          </w:p>
        </w:tc>
      </w:tr>
      <w:tr w:rsidR="00E94563" w14:paraId="3EA367BD" w14:textId="77777777">
        <w:trPr>
          <w:cantSplit/>
          <w:jc w:val="center"/>
        </w:trPr>
        <w:tc>
          <w:tcPr>
            <w:tcW w:w="2154" w:type="dxa"/>
            <w:shd w:val="clear" w:color="auto" w:fill="FFFFFF"/>
            <w:tcMar>
              <w:top w:w="85" w:type="dxa"/>
              <w:left w:w="105" w:type="dxa"/>
              <w:bottom w:w="85" w:type="dxa"/>
              <w:right w:w="105" w:type="dxa"/>
            </w:tcMar>
            <w:vAlign w:val="center"/>
          </w:tcPr>
          <w:p w14:paraId="5B7A1C8E" w14:textId="77777777" w:rsidR="00E94563" w:rsidRDefault="00000000">
            <w:pPr>
              <w:pStyle w:val="TableText"/>
            </w:pPr>
            <w:r>
              <w:rPr>
                <w:rFonts w:eastAsia="Arial" w:cs="Arial"/>
                <w:color w:val="243B48"/>
              </w:rPr>
              <w:t>Целевое действие</w:t>
            </w:r>
          </w:p>
        </w:tc>
        <w:tc>
          <w:tcPr>
            <w:tcW w:w="3402" w:type="dxa"/>
            <w:shd w:val="clear" w:color="auto" w:fill="FFFFFF"/>
            <w:tcMar>
              <w:top w:w="85" w:type="dxa"/>
              <w:left w:w="105" w:type="dxa"/>
              <w:bottom w:w="85" w:type="dxa"/>
              <w:right w:w="105" w:type="dxa"/>
            </w:tcMar>
            <w:vAlign w:val="center"/>
          </w:tcPr>
          <w:p w14:paraId="76A64B2D" w14:textId="77777777" w:rsidR="00E94563" w:rsidRDefault="00000000">
            <w:pPr>
              <w:pStyle w:val="TableText"/>
            </w:pPr>
            <w:r>
              <w:rPr>
                <w:rFonts w:eastAsia="Arial" w:cs="Arial"/>
                <w:color w:val="243B48"/>
              </w:rPr>
              <w:t>Находит подходящий вариант</w:t>
            </w:r>
          </w:p>
        </w:tc>
        <w:tc>
          <w:tcPr>
            <w:tcW w:w="3855" w:type="dxa"/>
            <w:shd w:val="clear" w:color="auto" w:fill="FFFFFF"/>
            <w:tcMar>
              <w:top w:w="85" w:type="dxa"/>
              <w:left w:w="105" w:type="dxa"/>
              <w:bottom w:w="85" w:type="dxa"/>
              <w:right w:w="105" w:type="dxa"/>
            </w:tcMar>
            <w:vAlign w:val="center"/>
          </w:tcPr>
          <w:p w14:paraId="649EE426" w14:textId="77777777" w:rsidR="00E94563" w:rsidRDefault="00000000">
            <w:pPr>
              <w:pStyle w:val="TableText"/>
            </w:pPr>
            <w:r>
              <w:rPr>
                <w:rFonts w:eastAsia="Arial" w:cs="Arial"/>
                <w:color w:val="243B48"/>
              </w:rPr>
              <w:t>Задание с проверяемым ответом</w:t>
            </w:r>
          </w:p>
        </w:tc>
      </w:tr>
      <w:tr w:rsidR="00E94563" w14:paraId="0A2BA343" w14:textId="77777777">
        <w:trPr>
          <w:cantSplit/>
          <w:jc w:val="center"/>
        </w:trPr>
        <w:tc>
          <w:tcPr>
            <w:tcW w:w="2154" w:type="dxa"/>
            <w:shd w:val="clear" w:color="auto" w:fill="F0F5F7"/>
            <w:tcMar>
              <w:top w:w="85" w:type="dxa"/>
              <w:left w:w="105" w:type="dxa"/>
              <w:bottom w:w="85" w:type="dxa"/>
              <w:right w:w="105" w:type="dxa"/>
            </w:tcMar>
            <w:vAlign w:val="center"/>
          </w:tcPr>
          <w:p w14:paraId="1DCF80A6" w14:textId="77777777" w:rsidR="00E94563" w:rsidRDefault="00000000">
            <w:pPr>
              <w:pStyle w:val="TableText"/>
            </w:pPr>
            <w:r>
              <w:rPr>
                <w:rFonts w:eastAsia="Arial" w:cs="Arial"/>
                <w:color w:val="243B48"/>
              </w:rPr>
              <w:t>Предполагаемый барьер</w:t>
            </w:r>
          </w:p>
        </w:tc>
        <w:tc>
          <w:tcPr>
            <w:tcW w:w="3402" w:type="dxa"/>
            <w:shd w:val="clear" w:color="auto" w:fill="F0F5F7"/>
            <w:tcMar>
              <w:top w:w="85" w:type="dxa"/>
              <w:left w:w="105" w:type="dxa"/>
              <w:bottom w:w="85" w:type="dxa"/>
              <w:right w:w="105" w:type="dxa"/>
            </w:tcMar>
            <w:vAlign w:val="center"/>
          </w:tcPr>
          <w:p w14:paraId="3C87229E" w14:textId="77777777" w:rsidR="00E94563" w:rsidRDefault="00000000">
            <w:pPr>
              <w:pStyle w:val="TableText"/>
            </w:pPr>
            <w:r>
              <w:rPr>
                <w:rFonts w:eastAsia="Arial" w:cs="Arial"/>
                <w:color w:val="243B48"/>
              </w:rPr>
              <w:t>Условия трудно сопоставить</w:t>
            </w:r>
          </w:p>
        </w:tc>
        <w:tc>
          <w:tcPr>
            <w:tcW w:w="3855" w:type="dxa"/>
            <w:shd w:val="clear" w:color="auto" w:fill="F0F5F7"/>
            <w:tcMar>
              <w:top w:w="85" w:type="dxa"/>
              <w:left w:w="105" w:type="dxa"/>
              <w:bottom w:w="85" w:type="dxa"/>
              <w:right w:w="105" w:type="dxa"/>
            </w:tcMar>
            <w:vAlign w:val="center"/>
          </w:tcPr>
          <w:p w14:paraId="2747D7B9" w14:textId="77777777" w:rsidR="00E94563" w:rsidRDefault="00000000">
            <w:pPr>
              <w:pStyle w:val="TableText"/>
            </w:pPr>
            <w:r>
              <w:rPr>
                <w:rFonts w:eastAsia="Arial" w:cs="Arial"/>
                <w:color w:val="243B48"/>
              </w:rPr>
              <w:t>Маршрут просмотра и интервью</w:t>
            </w:r>
          </w:p>
        </w:tc>
      </w:tr>
      <w:tr w:rsidR="00E94563" w14:paraId="2E0B155C" w14:textId="77777777">
        <w:trPr>
          <w:cantSplit/>
          <w:jc w:val="center"/>
        </w:trPr>
        <w:tc>
          <w:tcPr>
            <w:tcW w:w="2154" w:type="dxa"/>
            <w:shd w:val="clear" w:color="auto" w:fill="FFFFFF"/>
            <w:tcMar>
              <w:top w:w="85" w:type="dxa"/>
              <w:left w:w="105" w:type="dxa"/>
              <w:bottom w:w="85" w:type="dxa"/>
              <w:right w:w="105" w:type="dxa"/>
            </w:tcMar>
            <w:vAlign w:val="center"/>
          </w:tcPr>
          <w:p w14:paraId="4722E6A7" w14:textId="77777777" w:rsidR="00E94563" w:rsidRDefault="00000000">
            <w:pPr>
              <w:pStyle w:val="TableText"/>
            </w:pPr>
            <w:r>
              <w:rPr>
                <w:rFonts w:eastAsia="Arial" w:cs="Arial"/>
                <w:color w:val="243B48"/>
              </w:rPr>
              <w:t>Решение</w:t>
            </w:r>
          </w:p>
        </w:tc>
        <w:tc>
          <w:tcPr>
            <w:tcW w:w="3402" w:type="dxa"/>
            <w:shd w:val="clear" w:color="auto" w:fill="FFFFFF"/>
            <w:tcMar>
              <w:top w:w="85" w:type="dxa"/>
              <w:left w:w="105" w:type="dxa"/>
              <w:bottom w:w="85" w:type="dxa"/>
              <w:right w:w="105" w:type="dxa"/>
            </w:tcMar>
            <w:vAlign w:val="center"/>
          </w:tcPr>
          <w:p w14:paraId="20F7800B" w14:textId="77777777" w:rsidR="00E94563" w:rsidRDefault="00000000">
            <w:pPr>
              <w:pStyle w:val="TableText"/>
            </w:pPr>
            <w:r>
              <w:rPr>
                <w:rFonts w:eastAsia="Arial" w:cs="Arial"/>
                <w:color w:val="243B48"/>
              </w:rPr>
              <w:t>Единая таблица характеристик</w:t>
            </w:r>
          </w:p>
        </w:tc>
        <w:tc>
          <w:tcPr>
            <w:tcW w:w="3855" w:type="dxa"/>
            <w:shd w:val="clear" w:color="auto" w:fill="FFFFFF"/>
            <w:tcMar>
              <w:top w:w="85" w:type="dxa"/>
              <w:left w:w="105" w:type="dxa"/>
              <w:bottom w:w="85" w:type="dxa"/>
              <w:right w:w="105" w:type="dxa"/>
            </w:tcMar>
            <w:vAlign w:val="center"/>
          </w:tcPr>
          <w:p w14:paraId="51F7E4A3" w14:textId="77777777" w:rsidR="00E94563" w:rsidRDefault="00000000">
            <w:pPr>
              <w:pStyle w:val="TableText"/>
            </w:pPr>
            <w:r>
              <w:rPr>
                <w:rFonts w:eastAsia="Arial" w:cs="Arial"/>
                <w:color w:val="243B48"/>
              </w:rPr>
              <w:t>Тест двух версий</w:t>
            </w:r>
          </w:p>
        </w:tc>
      </w:tr>
      <w:tr w:rsidR="00E94563" w14:paraId="704AF6F4" w14:textId="77777777">
        <w:trPr>
          <w:cantSplit/>
          <w:jc w:val="center"/>
        </w:trPr>
        <w:tc>
          <w:tcPr>
            <w:tcW w:w="2154" w:type="dxa"/>
            <w:shd w:val="clear" w:color="auto" w:fill="F0F5F7"/>
            <w:tcMar>
              <w:top w:w="85" w:type="dxa"/>
              <w:left w:w="105" w:type="dxa"/>
              <w:bottom w:w="85" w:type="dxa"/>
              <w:right w:w="105" w:type="dxa"/>
            </w:tcMar>
            <w:vAlign w:val="center"/>
          </w:tcPr>
          <w:p w14:paraId="7A3F4395" w14:textId="77777777" w:rsidR="00E94563" w:rsidRDefault="00000000">
            <w:pPr>
              <w:pStyle w:val="TableText"/>
            </w:pPr>
            <w:r>
              <w:rPr>
                <w:rFonts w:eastAsia="Arial" w:cs="Arial"/>
                <w:color w:val="243B48"/>
              </w:rPr>
              <w:t>Защитное условие</w:t>
            </w:r>
          </w:p>
        </w:tc>
        <w:tc>
          <w:tcPr>
            <w:tcW w:w="3402" w:type="dxa"/>
            <w:shd w:val="clear" w:color="auto" w:fill="F0F5F7"/>
            <w:tcMar>
              <w:top w:w="85" w:type="dxa"/>
              <w:left w:w="105" w:type="dxa"/>
              <w:bottom w:w="85" w:type="dxa"/>
              <w:right w:w="105" w:type="dxa"/>
            </w:tcMar>
            <w:vAlign w:val="center"/>
          </w:tcPr>
          <w:p w14:paraId="6810B12C" w14:textId="77777777" w:rsidR="00E94563" w:rsidRPr="0038572F" w:rsidRDefault="00000000">
            <w:pPr>
              <w:pStyle w:val="TableText"/>
              <w:rPr>
                <w:lang w:val="ru-RU"/>
              </w:rPr>
            </w:pPr>
            <w:r w:rsidRPr="0038572F">
              <w:rPr>
                <w:rFonts w:eastAsia="Arial" w:cs="Arial"/>
                <w:color w:val="243B48"/>
                <w:lang w:val="ru-RU"/>
              </w:rPr>
              <w:t>Не скрыты цена и ограничения</w:t>
            </w:r>
          </w:p>
        </w:tc>
        <w:tc>
          <w:tcPr>
            <w:tcW w:w="3855" w:type="dxa"/>
            <w:shd w:val="clear" w:color="auto" w:fill="F0F5F7"/>
            <w:tcMar>
              <w:top w:w="85" w:type="dxa"/>
              <w:left w:w="105" w:type="dxa"/>
              <w:bottom w:w="85" w:type="dxa"/>
              <w:right w:w="105" w:type="dxa"/>
            </w:tcMar>
            <w:vAlign w:val="center"/>
          </w:tcPr>
          <w:p w14:paraId="6369E389" w14:textId="77777777" w:rsidR="00E94563" w:rsidRDefault="00000000">
            <w:pPr>
              <w:pStyle w:val="TableText"/>
            </w:pPr>
            <w:proofErr w:type="spellStart"/>
            <w:r>
              <w:rPr>
                <w:rFonts w:eastAsia="Arial" w:cs="Arial"/>
                <w:color w:val="243B48"/>
              </w:rPr>
              <w:t>Аудит</w:t>
            </w:r>
            <w:proofErr w:type="spellEnd"/>
            <w:r>
              <w:rPr>
                <w:rFonts w:eastAsia="Arial" w:cs="Arial"/>
                <w:color w:val="243B48"/>
              </w:rPr>
              <w:t xml:space="preserve"> и </w:t>
            </w:r>
            <w:proofErr w:type="spellStart"/>
            <w:r>
              <w:rPr>
                <w:rFonts w:eastAsia="Arial" w:cs="Arial"/>
                <w:color w:val="243B48"/>
              </w:rPr>
              <w:t>вопросы</w:t>
            </w:r>
            <w:proofErr w:type="spellEnd"/>
            <w:r>
              <w:rPr>
                <w:rFonts w:eastAsia="Arial" w:cs="Arial"/>
                <w:color w:val="243B48"/>
              </w:rPr>
              <w:t xml:space="preserve"> </w:t>
            </w:r>
            <w:proofErr w:type="spellStart"/>
            <w:r>
              <w:rPr>
                <w:rFonts w:eastAsia="Arial" w:cs="Arial"/>
                <w:color w:val="243B48"/>
              </w:rPr>
              <w:t>понимания</w:t>
            </w:r>
            <w:proofErr w:type="spellEnd"/>
          </w:p>
        </w:tc>
      </w:tr>
    </w:tbl>
    <w:p w14:paraId="06F0D5F8" w14:textId="77777777" w:rsidR="00E94563" w:rsidRDefault="00E94563">
      <w:pPr>
        <w:spacing w:after="0"/>
      </w:pPr>
    </w:p>
    <w:p w14:paraId="604D5126" w14:textId="77777777" w:rsidR="00E94563" w:rsidRDefault="00000000">
      <w:pPr>
        <w:pStyle w:val="21"/>
      </w:pPr>
      <w:r>
        <w:t>Гипотеза изменения</w:t>
      </w:r>
    </w:p>
    <w:p w14:paraId="112F18A4" w14:textId="77777777" w:rsidR="00E94563" w:rsidRPr="0038572F" w:rsidRDefault="00000000">
      <w:pPr>
        <w:rPr>
          <w:lang w:val="ru-RU"/>
        </w:rPr>
      </w:pPr>
      <w:r w:rsidRPr="0038572F">
        <w:rPr>
          <w:lang w:val="ru-RU"/>
        </w:rPr>
        <w:t>Рабочая формула: «Если для такой-то группы в такой-то ситуации изменить определенный элемент, то показатель изменится в предполагаемую сторону, потому что уменьшится конкретный барьер». Механизм остается гипотезой даже при положительном результате: сама разница показателей не всегда раскрывает, почему она возникла.</w:t>
      </w:r>
    </w:p>
    <w:p w14:paraId="56D10C64" w14:textId="77777777" w:rsidR="00E94563" w:rsidRPr="0038572F" w:rsidRDefault="00000000">
      <w:pPr>
        <w:rPr>
          <w:lang w:val="ru-RU"/>
        </w:rPr>
      </w:pPr>
      <w:r w:rsidRPr="0038572F">
        <w:rPr>
          <w:lang w:val="ru-RU"/>
        </w:rPr>
        <w:t>Укажите альтернативное объяснение и наблюдение, которое заставит отказаться от первоначальной версии. Например, если участники находят таблицу, но все равно неверно понимают условия, причина может быть в терминологии, а не в расположении. Стратегия должна допускать такое уточнение.</w:t>
      </w:r>
    </w:p>
    <w:p w14:paraId="2CD536BD" w14:textId="77777777" w:rsidR="00E94563" w:rsidRPr="0038572F" w:rsidRDefault="00000000">
      <w:pPr>
        <w:rPr>
          <w:lang w:val="ru-RU"/>
        </w:rPr>
      </w:pPr>
      <w:r w:rsidRPr="0038572F">
        <w:rPr>
          <w:lang w:val="ru-RU"/>
        </w:rPr>
        <w:t>Небольшой прототип позволяет проверить ограниченное изменение до больших расходов. Не обязательно перестраивать весь магазин ради одной гипотезы; сначала важнее получить данные и сохранить возможность исправления.</w:t>
      </w:r>
    </w:p>
    <w:p w14:paraId="0AA1C568" w14:textId="77777777" w:rsidR="00E94563" w:rsidRPr="0038572F" w:rsidRDefault="00000000">
      <w:pPr>
        <w:pStyle w:val="1"/>
        <w:pageBreakBefore/>
        <w:rPr>
          <w:lang w:val="ru-RU"/>
        </w:rPr>
      </w:pPr>
      <w:r w:rsidRPr="0038572F">
        <w:rPr>
          <w:lang w:val="ru-RU"/>
        </w:rPr>
        <w:lastRenderedPageBreak/>
        <w:t>2. Проектирование проверки и эксперимента</w:t>
      </w:r>
    </w:p>
    <w:p w14:paraId="7B1EEAF6" w14:textId="77777777" w:rsidR="00E94563" w:rsidRPr="0038572F" w:rsidRDefault="00000000">
      <w:pPr>
        <w:rPr>
          <w:lang w:val="ru-RU"/>
        </w:rPr>
      </w:pPr>
      <w:r w:rsidRPr="0038572F">
        <w:rPr>
          <w:lang w:val="ru-RU"/>
        </w:rPr>
        <w:t>Проверка должна отличать эффект решения от других возможных причин. Наблюдательное сравнение «до — после» полезно для описания изменения, но одновременно могут меняться сезон, аудитория, конкуренция и доступность товара. Поэтому причинный вывод требует более сильного основания.</w:t>
      </w:r>
    </w:p>
    <w:p w14:paraId="6C28EACE" w14:textId="77777777" w:rsidR="00E94563" w:rsidRPr="0038572F" w:rsidRDefault="00000000">
      <w:pPr>
        <w:pStyle w:val="21"/>
        <w:rPr>
          <w:lang w:val="ru-RU"/>
        </w:rPr>
      </w:pPr>
      <w:r w:rsidRPr="0038572F">
        <w:rPr>
          <w:lang w:val="ru-RU"/>
        </w:rPr>
        <w:t>Контроль и случайное распределение</w:t>
      </w:r>
    </w:p>
    <w:p w14:paraId="78C4E262" w14:textId="77777777" w:rsidR="00E94563" w:rsidRPr="0038572F" w:rsidRDefault="00000000">
      <w:pPr>
        <w:rPr>
          <w:lang w:val="ru-RU"/>
        </w:rPr>
      </w:pPr>
      <w:r w:rsidRPr="0038572F">
        <w:rPr>
          <w:lang w:val="ru-RU"/>
        </w:rPr>
        <w:t>В контролируемом эксперименте сопоставимые участники распределяются между условиями по заранее заданному случайному правилу. Контроль получает базовый вариант, тестовая группа — измененный. Руководство Кохави и соавторов объясняет значение рандомизации, выбора метрик и корректной организации веб-эксперимента [1].</w:t>
      </w:r>
    </w:p>
    <w:p w14:paraId="342DCC0E" w14:textId="77777777" w:rsidR="00E94563" w:rsidRPr="0038572F" w:rsidRDefault="00000000">
      <w:pPr>
        <w:rPr>
          <w:lang w:val="ru-RU"/>
        </w:rPr>
      </w:pPr>
      <w:r w:rsidRPr="0038572F">
        <w:rPr>
          <w:lang w:val="ru-RU"/>
        </w:rPr>
        <w:t>Случайное распределение помогает уменьшить систематические различия между условиями, но не делает ограниченную учебную выборку представительной для всего рынка. Также оно не компенсирует ошибки учета, различия в доступности товара или переход участников между вариантами.</w:t>
      </w:r>
    </w:p>
    <w:p w14:paraId="5BF9F1B4" w14:textId="77777777" w:rsidR="00E94563" w:rsidRPr="0038572F" w:rsidRDefault="00000000">
      <w:pPr>
        <w:pStyle w:val="21"/>
        <w:rPr>
          <w:lang w:val="ru-RU"/>
        </w:rPr>
      </w:pPr>
      <w:r w:rsidRPr="0038572F">
        <w:rPr>
          <w:lang w:val="ru-RU"/>
        </w:rPr>
        <w:t>Единица распределения</w:t>
      </w:r>
    </w:p>
    <w:p w14:paraId="1EBA5E35" w14:textId="77777777" w:rsidR="00E94563" w:rsidRPr="0038572F" w:rsidRDefault="00000000">
      <w:pPr>
        <w:rPr>
          <w:lang w:val="ru-RU"/>
        </w:rPr>
      </w:pPr>
      <w:r w:rsidRPr="0038572F">
        <w:rPr>
          <w:lang w:val="ru-RU"/>
        </w:rPr>
        <w:t>Единицей может быть пользователь, магазин или другой объект. Ее выбирают с учетом возможного взаимного влияния. Если один человек видит обе версии на разных устройствах, независимость сравнения нарушается. Если скидку обсуждают внутри группы, воздействие может выходить за пределы назначенного варианта.</w:t>
      </w:r>
    </w:p>
    <w:p w14:paraId="6EBCEC98" w14:textId="77777777" w:rsidR="00E94563" w:rsidRPr="0038572F" w:rsidRDefault="00000000">
      <w:pPr>
        <w:rPr>
          <w:lang w:val="ru-RU"/>
        </w:rPr>
      </w:pPr>
      <w:r w:rsidRPr="0038572F">
        <w:rPr>
          <w:lang w:val="ru-RU"/>
        </w:rPr>
        <w:t>Для учебного проекта достаточно описать правило, риски смешения и порядок анализа. Не нужно заявлять сложный эксперимент, если фактически проведен просмотр с несколькими знакомыми. Такой просмотр остается полезным пилотом понятности.</w:t>
      </w:r>
    </w:p>
    <w:p w14:paraId="60CD7F26" w14:textId="77777777" w:rsidR="00E94563" w:rsidRPr="0038572F" w:rsidRDefault="00000000">
      <w:pPr>
        <w:pStyle w:val="21"/>
        <w:rPr>
          <w:lang w:val="ru-RU"/>
        </w:rPr>
      </w:pPr>
      <w:r w:rsidRPr="0038572F">
        <w:rPr>
          <w:lang w:val="ru-RU"/>
        </w:rPr>
        <w:t>План до запуска</w:t>
      </w:r>
    </w:p>
    <w:p w14:paraId="4693BF6D" w14:textId="77777777" w:rsidR="00E94563" w:rsidRPr="0038572F" w:rsidRDefault="00000000">
      <w:pPr>
        <w:rPr>
          <w:lang w:val="ru-RU"/>
        </w:rPr>
      </w:pPr>
      <w:r w:rsidRPr="0038572F">
        <w:rPr>
          <w:lang w:val="ru-RU"/>
        </w:rPr>
        <w:t>Заранее определяют гипотезу, условия, основную метрику, защитные показатели, период и критерии завершения. Достаточный объем данных зависит от исходного уровня, минимально значимого эффекта и требуемой точности. Универсального числа «тридцать человек всегда достаточно» не существует.</w:t>
      </w:r>
    </w:p>
    <w:p w14:paraId="2D23A4A5" w14:textId="77777777" w:rsidR="00E94563" w:rsidRPr="0038572F" w:rsidRDefault="00000000">
      <w:pPr>
        <w:rPr>
          <w:lang w:val="ru-RU"/>
        </w:rPr>
      </w:pPr>
      <w:r w:rsidRPr="0038572F">
        <w:rPr>
          <w:lang w:val="ru-RU"/>
        </w:rPr>
        <w:t>Не следует многократно проверять результат и завершать тест при первом удобном различии без предусмотренной процедуры. Также нельзя после анализа незаметно выбрать только благоприятную подгруппу. Поисковые результаты можно изучать, но их статус нужно отличать от проверки заранее поставленной гипотезы.</w:t>
      </w:r>
    </w:p>
    <w:p w14:paraId="4B7024EF" w14:textId="77777777" w:rsidR="00E94563" w:rsidRPr="0038572F" w:rsidRDefault="00000000">
      <w:pPr>
        <w:pStyle w:val="21"/>
        <w:rPr>
          <w:lang w:val="ru-RU"/>
        </w:rPr>
      </w:pPr>
      <w:r w:rsidRPr="0038572F">
        <w:rPr>
          <w:lang w:val="ru-RU"/>
        </w:rPr>
        <w:t>Когда эксперимент ограничен</w:t>
      </w:r>
    </w:p>
    <w:p w14:paraId="2845BA3F" w14:textId="77777777" w:rsidR="00E94563" w:rsidRPr="0038572F" w:rsidRDefault="00000000">
      <w:pPr>
        <w:rPr>
          <w:lang w:val="ru-RU"/>
        </w:rPr>
      </w:pPr>
      <w:r w:rsidRPr="0038572F">
        <w:rPr>
          <w:lang w:val="ru-RU"/>
        </w:rPr>
        <w:t>Не каждое изменение допустимо проверять на людях. Нельзя сознательно скрывать существенные условия или подвергать участников неприемлемому риску ради измерения конверсии. В таких случаях используются безопасный прототип, моделирование процесса и проверка понятности без реальных обязательств.</w:t>
      </w:r>
    </w:p>
    <w:p w14:paraId="1606B910" w14:textId="77777777" w:rsidR="00E94563" w:rsidRPr="0038572F" w:rsidRDefault="00000000">
      <w:pPr>
        <w:pStyle w:val="1"/>
        <w:pageBreakBefore/>
        <w:rPr>
          <w:lang w:val="ru-RU"/>
        </w:rPr>
      </w:pPr>
      <w:r w:rsidRPr="0038572F">
        <w:rPr>
          <w:lang w:val="ru-RU"/>
        </w:rPr>
        <w:lastRenderedPageBreak/>
        <w:t>3. Метрики, неопределенность и качество вывода</w:t>
      </w:r>
    </w:p>
    <w:p w14:paraId="1AF65ACE" w14:textId="77777777" w:rsidR="00E94563" w:rsidRPr="0038572F" w:rsidRDefault="00000000">
      <w:pPr>
        <w:rPr>
          <w:lang w:val="ru-RU"/>
        </w:rPr>
      </w:pPr>
      <w:r w:rsidRPr="0038572F">
        <w:rPr>
          <w:lang w:val="ru-RU"/>
        </w:rPr>
        <w:t>Метрика должна быть связана с целевым поведением. Просмотры показывают распространение, клики — переход, покупка — действие, использование и отсутствие ошибочного выбора — последующие результаты. Нельзя заменять важный, но сложный показатель тем, который проще собрать, не оговорив ограничение.</w:t>
      </w:r>
    </w:p>
    <w:p w14:paraId="780648F4" w14:textId="77777777" w:rsidR="00E94563" w:rsidRPr="0038572F" w:rsidRDefault="00000000">
      <w:pPr>
        <w:pStyle w:val="21"/>
        <w:rPr>
          <w:lang w:val="ru-RU"/>
        </w:rPr>
      </w:pPr>
      <w:r w:rsidRPr="0038572F">
        <w:rPr>
          <w:lang w:val="ru-RU"/>
        </w:rPr>
        <w:t>Основной показатель и диагностика</w:t>
      </w:r>
    </w:p>
    <w:p w14:paraId="2429BAB8" w14:textId="77777777" w:rsidR="00E94563" w:rsidRPr="0038572F" w:rsidRDefault="00000000">
      <w:pPr>
        <w:rPr>
          <w:lang w:val="ru-RU"/>
        </w:rPr>
      </w:pPr>
      <w:r w:rsidRPr="0038572F">
        <w:rPr>
          <w:lang w:val="ru-RU"/>
        </w:rPr>
        <w:t>Одна основная метрика помогает избежать произвольного выбора успеха после анализа. Диагностические показатели объясняют, на каком этапе происходит изменение. Защитные фиксируют возможный вред или нежелательный обмен: рост возвратов, непонимание условий, стоимость обслуживания или недоступность отказа.</w:t>
      </w:r>
    </w:p>
    <w:tbl>
      <w:tblPr>
        <w:tblW w:w="0" w:type="auto"/>
        <w:jc w:val="center"/>
        <w:tblLayout w:type="fixed"/>
        <w:tblLook w:val="04A0" w:firstRow="1" w:lastRow="0" w:firstColumn="1" w:lastColumn="0" w:noHBand="0" w:noVBand="1"/>
      </w:tblPr>
      <w:tblGrid>
        <w:gridCol w:w="2154"/>
        <w:gridCol w:w="3402"/>
        <w:gridCol w:w="3855"/>
      </w:tblGrid>
      <w:tr w:rsidR="00E94563" w14:paraId="5C7DE715" w14:textId="77777777">
        <w:trPr>
          <w:cantSplit/>
          <w:tblHeader/>
          <w:jc w:val="center"/>
        </w:trPr>
        <w:tc>
          <w:tcPr>
            <w:tcW w:w="2154" w:type="dxa"/>
            <w:shd w:val="clear" w:color="auto" w:fill="254656"/>
            <w:tcMar>
              <w:top w:w="85" w:type="dxa"/>
              <w:left w:w="105" w:type="dxa"/>
              <w:bottom w:w="85" w:type="dxa"/>
              <w:right w:w="105" w:type="dxa"/>
            </w:tcMar>
            <w:vAlign w:val="center"/>
          </w:tcPr>
          <w:p w14:paraId="6FECE4E8" w14:textId="77777777" w:rsidR="00E94563" w:rsidRDefault="00000000">
            <w:pPr>
              <w:pStyle w:val="TableText"/>
            </w:pPr>
            <w:proofErr w:type="spellStart"/>
            <w:r>
              <w:rPr>
                <w:rFonts w:eastAsia="Arial" w:cs="Arial"/>
                <w:b/>
                <w:color w:val="FFFFFF"/>
              </w:rPr>
              <w:t>Тип</w:t>
            </w:r>
            <w:proofErr w:type="spellEnd"/>
            <w:r>
              <w:rPr>
                <w:rFonts w:eastAsia="Arial" w:cs="Arial"/>
                <w:b/>
                <w:color w:val="FFFFFF"/>
              </w:rPr>
              <w:t xml:space="preserve"> </w:t>
            </w:r>
            <w:proofErr w:type="spellStart"/>
            <w:r>
              <w:rPr>
                <w:rFonts w:eastAsia="Arial" w:cs="Arial"/>
                <w:b/>
                <w:color w:val="FFFFFF"/>
              </w:rPr>
              <w:t>показателя</w:t>
            </w:r>
            <w:proofErr w:type="spellEnd"/>
          </w:p>
        </w:tc>
        <w:tc>
          <w:tcPr>
            <w:tcW w:w="3402" w:type="dxa"/>
            <w:shd w:val="clear" w:color="auto" w:fill="254656"/>
            <w:tcMar>
              <w:top w:w="85" w:type="dxa"/>
              <w:left w:w="105" w:type="dxa"/>
              <w:bottom w:w="85" w:type="dxa"/>
              <w:right w:w="105" w:type="dxa"/>
            </w:tcMar>
            <w:vAlign w:val="center"/>
          </w:tcPr>
          <w:p w14:paraId="6E167DBB" w14:textId="77777777" w:rsidR="00E94563" w:rsidRDefault="00000000">
            <w:pPr>
              <w:pStyle w:val="TableText"/>
            </w:pPr>
            <w:r>
              <w:rPr>
                <w:rFonts w:eastAsia="Arial" w:cs="Arial"/>
                <w:b/>
                <w:color w:val="FFFFFF"/>
              </w:rPr>
              <w:t>Учебный пример</w:t>
            </w:r>
          </w:p>
        </w:tc>
        <w:tc>
          <w:tcPr>
            <w:tcW w:w="3855" w:type="dxa"/>
            <w:shd w:val="clear" w:color="auto" w:fill="254656"/>
            <w:tcMar>
              <w:top w:w="85" w:type="dxa"/>
              <w:left w:w="105" w:type="dxa"/>
              <w:bottom w:w="85" w:type="dxa"/>
              <w:right w:w="105" w:type="dxa"/>
            </w:tcMar>
            <w:vAlign w:val="center"/>
          </w:tcPr>
          <w:p w14:paraId="6FE26D09" w14:textId="77777777" w:rsidR="00E94563" w:rsidRDefault="00000000">
            <w:pPr>
              <w:pStyle w:val="TableText"/>
            </w:pPr>
            <w:r>
              <w:rPr>
                <w:rFonts w:eastAsia="Arial" w:cs="Arial"/>
                <w:b/>
                <w:color w:val="FFFFFF"/>
              </w:rPr>
              <w:t>Назначение</w:t>
            </w:r>
          </w:p>
        </w:tc>
      </w:tr>
      <w:tr w:rsidR="00E94563" w14:paraId="47226299" w14:textId="77777777">
        <w:trPr>
          <w:cantSplit/>
          <w:jc w:val="center"/>
        </w:trPr>
        <w:tc>
          <w:tcPr>
            <w:tcW w:w="2154" w:type="dxa"/>
            <w:shd w:val="clear" w:color="auto" w:fill="F0F5F7"/>
            <w:tcMar>
              <w:top w:w="85" w:type="dxa"/>
              <w:left w:w="105" w:type="dxa"/>
              <w:bottom w:w="85" w:type="dxa"/>
              <w:right w:w="105" w:type="dxa"/>
            </w:tcMar>
            <w:vAlign w:val="center"/>
          </w:tcPr>
          <w:p w14:paraId="6516F15C" w14:textId="77777777" w:rsidR="00E94563" w:rsidRDefault="00000000">
            <w:pPr>
              <w:pStyle w:val="TableText"/>
            </w:pPr>
            <w:r>
              <w:rPr>
                <w:rFonts w:eastAsia="Arial" w:cs="Arial"/>
                <w:color w:val="243B48"/>
              </w:rPr>
              <w:t>Основной</w:t>
            </w:r>
          </w:p>
        </w:tc>
        <w:tc>
          <w:tcPr>
            <w:tcW w:w="3402" w:type="dxa"/>
            <w:shd w:val="clear" w:color="auto" w:fill="F0F5F7"/>
            <w:tcMar>
              <w:top w:w="85" w:type="dxa"/>
              <w:left w:w="105" w:type="dxa"/>
              <w:bottom w:w="85" w:type="dxa"/>
              <w:right w:w="105" w:type="dxa"/>
            </w:tcMar>
            <w:vAlign w:val="center"/>
          </w:tcPr>
          <w:p w14:paraId="3C36435E" w14:textId="77777777" w:rsidR="00E94563" w:rsidRDefault="00000000">
            <w:pPr>
              <w:pStyle w:val="TableText"/>
            </w:pPr>
            <w:r>
              <w:rPr>
                <w:rFonts w:eastAsia="Arial" w:cs="Arial"/>
                <w:color w:val="243B48"/>
              </w:rPr>
              <w:t>Доля правильного завершения выбора</w:t>
            </w:r>
          </w:p>
        </w:tc>
        <w:tc>
          <w:tcPr>
            <w:tcW w:w="3855" w:type="dxa"/>
            <w:shd w:val="clear" w:color="auto" w:fill="F0F5F7"/>
            <w:tcMar>
              <w:top w:w="85" w:type="dxa"/>
              <w:left w:w="105" w:type="dxa"/>
              <w:bottom w:w="85" w:type="dxa"/>
              <w:right w:w="105" w:type="dxa"/>
            </w:tcMar>
            <w:vAlign w:val="center"/>
          </w:tcPr>
          <w:p w14:paraId="08C34B0A" w14:textId="77777777" w:rsidR="00E94563" w:rsidRDefault="00000000">
            <w:pPr>
              <w:pStyle w:val="TableText"/>
            </w:pPr>
            <w:r>
              <w:rPr>
                <w:rFonts w:eastAsia="Arial" w:cs="Arial"/>
                <w:color w:val="243B48"/>
              </w:rPr>
              <w:t>Проверить целевое действие</w:t>
            </w:r>
          </w:p>
        </w:tc>
      </w:tr>
      <w:tr w:rsidR="00E94563" w14:paraId="24CE962D" w14:textId="77777777">
        <w:trPr>
          <w:cantSplit/>
          <w:jc w:val="center"/>
        </w:trPr>
        <w:tc>
          <w:tcPr>
            <w:tcW w:w="2154" w:type="dxa"/>
            <w:shd w:val="clear" w:color="auto" w:fill="FFFFFF"/>
            <w:tcMar>
              <w:top w:w="85" w:type="dxa"/>
              <w:left w:w="105" w:type="dxa"/>
              <w:bottom w:w="85" w:type="dxa"/>
              <w:right w:w="105" w:type="dxa"/>
            </w:tcMar>
            <w:vAlign w:val="center"/>
          </w:tcPr>
          <w:p w14:paraId="0D2D689E" w14:textId="77777777" w:rsidR="00E94563" w:rsidRDefault="00000000">
            <w:pPr>
              <w:pStyle w:val="TableText"/>
            </w:pPr>
            <w:r>
              <w:rPr>
                <w:rFonts w:eastAsia="Arial" w:cs="Arial"/>
                <w:color w:val="243B48"/>
              </w:rPr>
              <w:t>Диагностический</w:t>
            </w:r>
          </w:p>
        </w:tc>
        <w:tc>
          <w:tcPr>
            <w:tcW w:w="3402" w:type="dxa"/>
            <w:shd w:val="clear" w:color="auto" w:fill="FFFFFF"/>
            <w:tcMar>
              <w:top w:w="85" w:type="dxa"/>
              <w:left w:w="105" w:type="dxa"/>
              <w:bottom w:w="85" w:type="dxa"/>
              <w:right w:w="105" w:type="dxa"/>
            </w:tcMar>
            <w:vAlign w:val="center"/>
          </w:tcPr>
          <w:p w14:paraId="2213317E" w14:textId="77777777" w:rsidR="00E94563" w:rsidRDefault="00000000">
            <w:pPr>
              <w:pStyle w:val="TableText"/>
            </w:pPr>
            <w:r>
              <w:rPr>
                <w:rFonts w:eastAsia="Arial" w:cs="Arial"/>
                <w:color w:val="243B48"/>
              </w:rPr>
              <w:t>Доля нашедших характеристику</w:t>
            </w:r>
          </w:p>
        </w:tc>
        <w:tc>
          <w:tcPr>
            <w:tcW w:w="3855" w:type="dxa"/>
            <w:shd w:val="clear" w:color="auto" w:fill="FFFFFF"/>
            <w:tcMar>
              <w:top w:w="85" w:type="dxa"/>
              <w:left w:w="105" w:type="dxa"/>
              <w:bottom w:w="85" w:type="dxa"/>
              <w:right w:w="105" w:type="dxa"/>
            </w:tcMar>
            <w:vAlign w:val="center"/>
          </w:tcPr>
          <w:p w14:paraId="555E7C2C" w14:textId="77777777" w:rsidR="00E94563" w:rsidRDefault="00000000">
            <w:pPr>
              <w:pStyle w:val="TableText"/>
            </w:pPr>
            <w:r>
              <w:rPr>
                <w:rFonts w:eastAsia="Arial" w:cs="Arial"/>
                <w:color w:val="243B48"/>
              </w:rPr>
              <w:t>Найти возможный этап затруднения</w:t>
            </w:r>
          </w:p>
        </w:tc>
      </w:tr>
      <w:tr w:rsidR="00E94563" w14:paraId="179A57E3" w14:textId="77777777">
        <w:trPr>
          <w:cantSplit/>
          <w:jc w:val="center"/>
        </w:trPr>
        <w:tc>
          <w:tcPr>
            <w:tcW w:w="2154" w:type="dxa"/>
            <w:shd w:val="clear" w:color="auto" w:fill="F0F5F7"/>
            <w:tcMar>
              <w:top w:w="85" w:type="dxa"/>
              <w:left w:w="105" w:type="dxa"/>
              <w:bottom w:w="85" w:type="dxa"/>
              <w:right w:w="105" w:type="dxa"/>
            </w:tcMar>
            <w:vAlign w:val="center"/>
          </w:tcPr>
          <w:p w14:paraId="24640F4C" w14:textId="77777777" w:rsidR="00E94563" w:rsidRDefault="00000000">
            <w:pPr>
              <w:pStyle w:val="TableText"/>
            </w:pPr>
            <w:r>
              <w:rPr>
                <w:rFonts w:eastAsia="Arial" w:cs="Arial"/>
                <w:color w:val="243B48"/>
              </w:rPr>
              <w:t>Защитный</w:t>
            </w:r>
          </w:p>
        </w:tc>
        <w:tc>
          <w:tcPr>
            <w:tcW w:w="3402" w:type="dxa"/>
            <w:shd w:val="clear" w:color="auto" w:fill="F0F5F7"/>
            <w:tcMar>
              <w:top w:w="85" w:type="dxa"/>
              <w:left w:w="105" w:type="dxa"/>
              <w:bottom w:w="85" w:type="dxa"/>
              <w:right w:w="105" w:type="dxa"/>
            </w:tcMar>
            <w:vAlign w:val="center"/>
          </w:tcPr>
          <w:p w14:paraId="2DAB8D02" w14:textId="77777777" w:rsidR="00E94563" w:rsidRDefault="00000000">
            <w:pPr>
              <w:pStyle w:val="TableText"/>
            </w:pPr>
            <w:r>
              <w:rPr>
                <w:rFonts w:eastAsia="Arial" w:cs="Arial"/>
                <w:color w:val="243B48"/>
              </w:rPr>
              <w:t>Доля ошибочных заказов</w:t>
            </w:r>
          </w:p>
        </w:tc>
        <w:tc>
          <w:tcPr>
            <w:tcW w:w="3855" w:type="dxa"/>
            <w:shd w:val="clear" w:color="auto" w:fill="F0F5F7"/>
            <w:tcMar>
              <w:top w:w="85" w:type="dxa"/>
              <w:left w:w="105" w:type="dxa"/>
              <w:bottom w:w="85" w:type="dxa"/>
              <w:right w:w="105" w:type="dxa"/>
            </w:tcMar>
            <w:vAlign w:val="center"/>
          </w:tcPr>
          <w:p w14:paraId="294D5A9F" w14:textId="77777777" w:rsidR="00E94563" w:rsidRDefault="00000000">
            <w:pPr>
              <w:pStyle w:val="TableText"/>
            </w:pPr>
            <w:r>
              <w:rPr>
                <w:rFonts w:eastAsia="Arial" w:cs="Arial"/>
                <w:color w:val="243B48"/>
              </w:rPr>
              <w:t>Не допустить ухудшения качества</w:t>
            </w:r>
          </w:p>
        </w:tc>
      </w:tr>
      <w:tr w:rsidR="00E94563" w14:paraId="075CAA6C" w14:textId="77777777">
        <w:trPr>
          <w:cantSplit/>
          <w:jc w:val="center"/>
        </w:trPr>
        <w:tc>
          <w:tcPr>
            <w:tcW w:w="2154" w:type="dxa"/>
            <w:shd w:val="clear" w:color="auto" w:fill="FFFFFF"/>
            <w:tcMar>
              <w:top w:w="85" w:type="dxa"/>
              <w:left w:w="105" w:type="dxa"/>
              <w:bottom w:w="85" w:type="dxa"/>
              <w:right w:w="105" w:type="dxa"/>
            </w:tcMar>
            <w:vAlign w:val="center"/>
          </w:tcPr>
          <w:p w14:paraId="172A55F1" w14:textId="77777777" w:rsidR="00E94563" w:rsidRDefault="00000000">
            <w:pPr>
              <w:pStyle w:val="TableText"/>
            </w:pPr>
            <w:r>
              <w:rPr>
                <w:rFonts w:eastAsia="Arial" w:cs="Arial"/>
                <w:color w:val="243B48"/>
              </w:rPr>
              <w:t>Экономический</w:t>
            </w:r>
          </w:p>
        </w:tc>
        <w:tc>
          <w:tcPr>
            <w:tcW w:w="3402" w:type="dxa"/>
            <w:shd w:val="clear" w:color="auto" w:fill="FFFFFF"/>
            <w:tcMar>
              <w:top w:w="85" w:type="dxa"/>
              <w:left w:w="105" w:type="dxa"/>
              <w:bottom w:w="85" w:type="dxa"/>
              <w:right w:w="105" w:type="dxa"/>
            </w:tcMar>
            <w:vAlign w:val="center"/>
          </w:tcPr>
          <w:p w14:paraId="4E2FB40D" w14:textId="77777777" w:rsidR="00E94563" w:rsidRDefault="00000000">
            <w:pPr>
              <w:pStyle w:val="TableText"/>
            </w:pPr>
            <w:r>
              <w:rPr>
                <w:rFonts w:eastAsia="Arial" w:cs="Arial"/>
                <w:color w:val="243B48"/>
              </w:rPr>
              <w:t>Дополнительный вклад после затрат</w:t>
            </w:r>
          </w:p>
        </w:tc>
        <w:tc>
          <w:tcPr>
            <w:tcW w:w="3855" w:type="dxa"/>
            <w:shd w:val="clear" w:color="auto" w:fill="FFFFFF"/>
            <w:tcMar>
              <w:top w:w="85" w:type="dxa"/>
              <w:left w:w="105" w:type="dxa"/>
              <w:bottom w:w="85" w:type="dxa"/>
              <w:right w:w="105" w:type="dxa"/>
            </w:tcMar>
            <w:vAlign w:val="center"/>
          </w:tcPr>
          <w:p w14:paraId="171B24BA" w14:textId="77777777" w:rsidR="00E94563" w:rsidRDefault="00000000">
            <w:pPr>
              <w:pStyle w:val="TableText"/>
            </w:pPr>
            <w:r>
              <w:rPr>
                <w:rFonts w:eastAsia="Arial" w:cs="Arial"/>
                <w:color w:val="243B48"/>
              </w:rPr>
              <w:t>Оценить устойчивость решения</w:t>
            </w:r>
          </w:p>
        </w:tc>
      </w:tr>
    </w:tbl>
    <w:p w14:paraId="0902A337" w14:textId="77777777" w:rsidR="00E94563" w:rsidRDefault="00E94563">
      <w:pPr>
        <w:spacing w:after="0"/>
      </w:pPr>
    </w:p>
    <w:p w14:paraId="453C2E60" w14:textId="77777777" w:rsidR="00E94563" w:rsidRDefault="00000000">
      <w:pPr>
        <w:pStyle w:val="21"/>
      </w:pPr>
      <w:r>
        <w:t>Паспорт измерения</w:t>
      </w:r>
    </w:p>
    <w:p w14:paraId="30CBF7F6" w14:textId="77777777" w:rsidR="00E94563" w:rsidRPr="0038572F" w:rsidRDefault="00000000">
      <w:pPr>
        <w:rPr>
          <w:lang w:val="ru-RU"/>
        </w:rPr>
      </w:pPr>
      <w:r w:rsidRPr="0038572F">
        <w:rPr>
          <w:lang w:val="ru-RU"/>
        </w:rPr>
        <w:t>Для каждого показателя указывают числитель, знаменатель, период, источник, обработку пропусков и исключений. Если анализируются пользователи, несколько заказов одного человека нельзя незаметно считать несколькими независимыми участниками. Если важны возвраты, обеим группам дают одинаковое время для их наблюдения.</w:t>
      </w:r>
    </w:p>
    <w:p w14:paraId="1BF45F1A" w14:textId="77777777" w:rsidR="00E94563" w:rsidRPr="0038572F" w:rsidRDefault="00000000">
      <w:pPr>
        <w:pStyle w:val="21"/>
        <w:rPr>
          <w:lang w:val="ru-RU"/>
        </w:rPr>
      </w:pPr>
      <w:r w:rsidRPr="0038572F">
        <w:rPr>
          <w:lang w:val="ru-RU"/>
        </w:rPr>
        <w:t>Случайные колебания</w:t>
      </w:r>
    </w:p>
    <w:p w14:paraId="08F12DE8" w14:textId="77777777" w:rsidR="00E94563" w:rsidRPr="0038572F" w:rsidRDefault="00000000">
      <w:pPr>
        <w:rPr>
          <w:lang w:val="ru-RU"/>
        </w:rPr>
      </w:pPr>
      <w:r w:rsidRPr="0038572F">
        <w:rPr>
          <w:lang w:val="ru-RU"/>
        </w:rPr>
        <w:t>Наблюдаемая разница является оценкой, а не точным знанием эффекта во всей будущей аудитории. Для вывода важны неопределенность и практическая значимость. Большой процентный прирост на малом числе событий может быть нестабилен; небольшое различие в большой выборке может оказаться экономически несущественным.</w:t>
      </w:r>
    </w:p>
    <w:p w14:paraId="277ADF5F" w14:textId="77777777" w:rsidR="00E94563" w:rsidRPr="0038572F" w:rsidRDefault="00000000">
      <w:pPr>
        <w:rPr>
          <w:lang w:val="ru-RU"/>
        </w:rPr>
      </w:pPr>
      <w:r w:rsidRPr="0038572F">
        <w:rPr>
          <w:lang w:val="ru-RU"/>
        </w:rPr>
        <w:t>В бакалаврском проекте допустим описательный анализ с честным указанием ограничений. Не нужно использовать выражение «статистически доказано», если соответствующая процедура не выполнялась. Расчет долей и обсуждение альтернативных объяснений полезнее неподтвержденной ссылки на значимость.</w:t>
      </w:r>
    </w:p>
    <w:p w14:paraId="2FD7FAEE" w14:textId="77777777" w:rsidR="00E94563" w:rsidRPr="0038572F" w:rsidRDefault="00000000">
      <w:pPr>
        <w:pStyle w:val="21"/>
        <w:rPr>
          <w:lang w:val="ru-RU"/>
        </w:rPr>
      </w:pPr>
      <w:r w:rsidRPr="0038572F">
        <w:rPr>
          <w:lang w:val="ru-RU"/>
        </w:rPr>
        <w:t>Связь и механизм</w:t>
      </w:r>
    </w:p>
    <w:p w14:paraId="0BC257E1" w14:textId="77777777" w:rsidR="00E94563" w:rsidRPr="0038572F" w:rsidRDefault="00000000">
      <w:pPr>
        <w:rPr>
          <w:lang w:val="ru-RU"/>
        </w:rPr>
      </w:pPr>
      <w:r w:rsidRPr="0038572F">
        <w:rPr>
          <w:lang w:val="ru-RU"/>
        </w:rPr>
        <w:t>Даже корректно обнаруженный эффект новой версии не доказывает все предложенные объяснения. Чтобы понять механизм, могут понадобиться дополнительные наблюдения, интервью или отдельное изменение элемента. В отчете разделяются результат сравнения, его возможное объяснение и решение команды.</w:t>
      </w:r>
    </w:p>
    <w:p w14:paraId="39B1F6EE" w14:textId="77777777" w:rsidR="00E94563" w:rsidRPr="0038572F" w:rsidRDefault="00000000">
      <w:pPr>
        <w:pStyle w:val="1"/>
        <w:pageBreakBefore/>
        <w:rPr>
          <w:lang w:val="ru-RU"/>
        </w:rPr>
      </w:pPr>
      <w:r w:rsidRPr="0038572F">
        <w:rPr>
          <w:lang w:val="ru-RU"/>
        </w:rPr>
        <w:lastRenderedPageBreak/>
        <w:t>4. Экономика дополнительного эффекта</w:t>
      </w:r>
    </w:p>
    <w:p w14:paraId="7B5AD808" w14:textId="77777777" w:rsidR="00E94563" w:rsidRPr="0038572F" w:rsidRDefault="00000000">
      <w:pPr>
        <w:rPr>
          <w:lang w:val="ru-RU"/>
        </w:rPr>
      </w:pPr>
      <w:r w:rsidRPr="0038572F">
        <w:rPr>
          <w:lang w:val="ru-RU"/>
        </w:rPr>
        <w:t>Экономическая оценка начинается с различия между общим результатом тестовой группы и дополнительным результатом относительно базового сценария. Компания получила бы часть заказов и без изменения. Поэтому нельзя приписывать проекту всю выручку, связанную с новой страницей или программой.</w:t>
      </w:r>
    </w:p>
    <w:p w14:paraId="671EA75C" w14:textId="77777777" w:rsidR="00E94563" w:rsidRPr="0038572F" w:rsidRDefault="00000000">
      <w:pPr>
        <w:pStyle w:val="21"/>
        <w:rPr>
          <w:lang w:val="ru-RU"/>
        </w:rPr>
      </w:pPr>
      <w:r w:rsidRPr="0038572F">
        <w:rPr>
          <w:lang w:val="ru-RU"/>
        </w:rPr>
        <w:t>Дополнительные действия</w:t>
      </w:r>
    </w:p>
    <w:p w14:paraId="1E076963" w14:textId="77777777" w:rsidR="00E94563" w:rsidRPr="0038572F" w:rsidRDefault="00000000">
      <w:pPr>
        <w:rPr>
          <w:lang w:val="ru-RU"/>
        </w:rPr>
      </w:pPr>
      <w:r w:rsidRPr="0038572F">
        <w:rPr>
          <w:lang w:val="ru-RU"/>
        </w:rPr>
        <w:t>В простом сравнении равных по размеру групп дополнительное число покупок оценивается как разница между наблюдаемыми числами. При разных размерах сначала рассчитываются сопоставимые доли. Но эта арифметика получает причинный смысл только при обоснованном дизайне и корректном учете.</w:t>
      </w:r>
    </w:p>
    <w:p w14:paraId="1D62C333" w14:textId="77777777" w:rsidR="00E94563" w:rsidRPr="0038572F" w:rsidRDefault="00000000">
      <w:pPr>
        <w:rPr>
          <w:lang w:val="ru-RU"/>
        </w:rPr>
      </w:pPr>
      <w:r w:rsidRPr="0038572F">
        <w:rPr>
          <w:lang w:val="ru-RU"/>
        </w:rPr>
        <w:t>Покупки могут переместиться из другого канала или будущего периода. Такая каннибализация означает, что рост в наблюдаемой точке не равен росту компании в целом. Для длительных решений нужно учитывать более широкий горизонт и взаимосвязанные каналы.</w:t>
      </w:r>
    </w:p>
    <w:p w14:paraId="70E732E6" w14:textId="77777777" w:rsidR="00E94563" w:rsidRPr="0038572F" w:rsidRDefault="00000000">
      <w:pPr>
        <w:pStyle w:val="21"/>
        <w:rPr>
          <w:lang w:val="ru-RU"/>
        </w:rPr>
      </w:pPr>
      <w:r w:rsidRPr="0038572F">
        <w:rPr>
          <w:lang w:val="ru-RU"/>
        </w:rPr>
        <w:t>Вклад и затраты</w:t>
      </w:r>
    </w:p>
    <w:p w14:paraId="7098844F" w14:textId="77777777" w:rsidR="00E94563" w:rsidRPr="0038572F" w:rsidRDefault="00000000">
      <w:pPr>
        <w:rPr>
          <w:lang w:val="ru-RU"/>
        </w:rPr>
      </w:pPr>
      <w:r w:rsidRPr="0038572F">
        <w:rPr>
          <w:lang w:val="ru-RU"/>
        </w:rPr>
        <w:t xml:space="preserve">Учебная оценка: </w:t>
      </w:r>
      <w:r w:rsidRPr="0038572F">
        <w:rPr>
          <w:b/>
          <w:lang w:val="ru-RU"/>
        </w:rPr>
        <w:t>дополнительный результат = дополнительные покупки × вклад на покупку − дополнительные затраты проекта</w:t>
      </w:r>
      <w:r w:rsidRPr="0038572F">
        <w:rPr>
          <w:lang w:val="ru-RU"/>
        </w:rPr>
        <w:t>. Вклад отличается от цены: из выручки вычитают соответствующие переменные затраты. Затраты разработки, поддержки и проверки учитываются отдельно, если они еще не включены.</w:t>
      </w:r>
    </w:p>
    <w:p w14:paraId="2618B420" w14:textId="77777777" w:rsidR="00E94563" w:rsidRPr="0038572F" w:rsidRDefault="00000000">
      <w:pPr>
        <w:rPr>
          <w:lang w:val="ru-RU"/>
        </w:rPr>
      </w:pPr>
      <w:r w:rsidRPr="0038572F">
        <w:rPr>
          <w:lang w:val="ru-RU"/>
        </w:rPr>
        <w:t>Необходимо согласовать горизонт. Нельзя сравнивать стоимость годовой разработки с вкладом за один день без пояснения или объявлять окупаемость на основе бессрочного повторения пилотного эффекта. Для будущего периода используются сценарии и допущения, а не уверенное продолжение одной удачной недели.</w:t>
      </w:r>
    </w:p>
    <w:p w14:paraId="1CC2F8FB" w14:textId="77777777" w:rsidR="00E94563" w:rsidRPr="0038572F" w:rsidRDefault="00000000">
      <w:pPr>
        <w:pStyle w:val="21"/>
        <w:rPr>
          <w:lang w:val="ru-RU"/>
        </w:rPr>
      </w:pPr>
      <w:r w:rsidRPr="0038572F">
        <w:rPr>
          <w:lang w:val="ru-RU"/>
        </w:rPr>
        <w:t>Анализ чувствительности</w:t>
      </w:r>
    </w:p>
    <w:p w14:paraId="7ED6885A" w14:textId="77777777" w:rsidR="00E94563" w:rsidRPr="0038572F" w:rsidRDefault="00000000">
      <w:pPr>
        <w:rPr>
          <w:lang w:val="ru-RU"/>
        </w:rPr>
      </w:pPr>
      <w:r w:rsidRPr="0038572F">
        <w:rPr>
          <w:lang w:val="ru-RU"/>
        </w:rPr>
        <w:t>Выберите несколько реалистично объясненных значений эффекта и затрат. Что произойдет, если результат окажется вдвое меньше, поддержка дороже или часть заказов вернется? Такой анализ показывает устойчивость решения. Сценарии не следует называть вероятностным прогнозом, если вероятности не оценены.</w:t>
      </w:r>
    </w:p>
    <w:p w14:paraId="0739D65E" w14:textId="77777777" w:rsidR="00E94563" w:rsidRPr="0038572F" w:rsidRDefault="00000000">
      <w:pPr>
        <w:rPr>
          <w:lang w:val="ru-RU"/>
        </w:rPr>
      </w:pPr>
      <w:r w:rsidRPr="0038572F">
        <w:rPr>
          <w:lang w:val="ru-RU"/>
        </w:rPr>
        <w:t>Нулевая оценка дополнительного результата не обязательно делает исследование бесполезным. Оно могло предотвратить расходы на неработающий прием или обнаружить важный барьер. Но учебную пользу исследования нужно отличать от коммерческой эффективности внедрения.</w:t>
      </w:r>
    </w:p>
    <w:p w14:paraId="50E17664" w14:textId="77777777" w:rsidR="00E94563" w:rsidRPr="0038572F" w:rsidRDefault="00000000">
      <w:pPr>
        <w:pStyle w:val="Callout"/>
        <w:shd w:val="clear" w:color="auto" w:fill="EDF5F5"/>
        <w:rPr>
          <w:lang w:val="ru-RU"/>
        </w:rPr>
      </w:pPr>
      <w:r w:rsidRPr="0038572F">
        <w:rPr>
          <w:lang w:val="ru-RU"/>
        </w:rPr>
        <w:t>Экономический расчет не отменяет ограничений качества и самостоятельности выбора. Положительный вклад не оправдывает введение потребителя в заблуждение.</w:t>
      </w:r>
    </w:p>
    <w:p w14:paraId="7487B48A" w14:textId="77777777" w:rsidR="00E94563" w:rsidRPr="0038572F" w:rsidRDefault="00000000">
      <w:pPr>
        <w:rPr>
          <w:lang w:val="ru-RU"/>
        </w:rPr>
      </w:pPr>
      <w:r w:rsidRPr="0038572F">
        <w:rPr>
          <w:lang w:val="ru-RU"/>
        </w:rPr>
        <w:t>Решение должно показывать, какие результаты наблюдались, какие только ожидаются и при каких условиях вывод изменится. Это делает стратегию проверяемой после завершения пилота.</w:t>
      </w:r>
    </w:p>
    <w:p w14:paraId="152606A6" w14:textId="77777777" w:rsidR="00E94563" w:rsidRPr="0038572F" w:rsidRDefault="00000000">
      <w:pPr>
        <w:pStyle w:val="1"/>
        <w:pageBreakBefore/>
        <w:rPr>
          <w:lang w:val="ru-RU"/>
        </w:rPr>
      </w:pPr>
      <w:r w:rsidRPr="0038572F">
        <w:rPr>
          <w:lang w:val="ru-RU"/>
        </w:rPr>
        <w:lastRenderedPageBreak/>
        <w:t>5. Внедрение, ответственность и пересмотр</w:t>
      </w:r>
    </w:p>
    <w:p w14:paraId="6ED9D329" w14:textId="77777777" w:rsidR="00E94563" w:rsidRPr="0038572F" w:rsidRDefault="00000000">
      <w:pPr>
        <w:rPr>
          <w:lang w:val="ru-RU"/>
        </w:rPr>
      </w:pPr>
      <w:r w:rsidRPr="0038572F">
        <w:rPr>
          <w:lang w:val="ru-RU"/>
        </w:rPr>
        <w:t>Пилот не завершает управление. После расширения могут измениться аудитория, нагрузка на поддержку и качество исполнения. Поэтому масштабирование требует отдельного решения, а не автоматического переноса результата на весь рынок.</w:t>
      </w:r>
    </w:p>
    <w:p w14:paraId="3586C953" w14:textId="77777777" w:rsidR="00E94563" w:rsidRPr="0038572F" w:rsidRDefault="00000000">
      <w:pPr>
        <w:pStyle w:val="21"/>
        <w:rPr>
          <w:lang w:val="ru-RU"/>
        </w:rPr>
      </w:pPr>
      <w:r w:rsidRPr="0038572F">
        <w:rPr>
          <w:lang w:val="ru-RU"/>
        </w:rPr>
        <w:t>Карта реализации</w:t>
      </w:r>
    </w:p>
    <w:p w14:paraId="0EE651B1" w14:textId="77777777" w:rsidR="00E94563" w:rsidRPr="0038572F" w:rsidRDefault="00000000">
      <w:pPr>
        <w:rPr>
          <w:lang w:val="ru-RU"/>
        </w:rPr>
      </w:pPr>
      <w:r w:rsidRPr="0038572F">
        <w:rPr>
          <w:lang w:val="ru-RU"/>
        </w:rPr>
        <w:t>Для каждого действия определяют ответственного, срок, входные сведения, ожидаемый продукт и условие приемки. Маркетинговая команда может отвечать за сообщение, продуктовая — за интерфейс, сервисная — за выполнение обещания. Согласованность необходима, иначе коммуникация снова создаст ожидание, которое процесс не способен поддержать.</w:t>
      </w:r>
    </w:p>
    <w:p w14:paraId="34D8B34A" w14:textId="77777777" w:rsidR="00E94563" w:rsidRPr="0038572F" w:rsidRDefault="00000000">
      <w:pPr>
        <w:pStyle w:val="21"/>
        <w:rPr>
          <w:lang w:val="ru-RU"/>
        </w:rPr>
      </w:pPr>
      <w:r w:rsidRPr="0038572F">
        <w:rPr>
          <w:lang w:val="ru-RU"/>
        </w:rPr>
        <w:t>Критерии продолжения и остановки</w:t>
      </w:r>
    </w:p>
    <w:p w14:paraId="7862FC5D" w14:textId="77777777" w:rsidR="00E94563" w:rsidRPr="0038572F" w:rsidRDefault="00000000">
      <w:pPr>
        <w:rPr>
          <w:lang w:val="ru-RU"/>
        </w:rPr>
      </w:pPr>
      <w:r w:rsidRPr="0038572F">
        <w:rPr>
          <w:lang w:val="ru-RU"/>
        </w:rPr>
        <w:t>Продолжение зависит от основного результата, защитных метрик, достаточности основания и ресурсов. Существенная ошибка в условиях или рост неподходящих заказов могут потребовать остановки даже при увеличении продаж. Неопределенный эффект может быть основанием для дополнительного теста, а не для немедленного отказа или уверенного запуска.</w:t>
      </w:r>
    </w:p>
    <w:p w14:paraId="08787DDD" w14:textId="77777777" w:rsidR="00E94563" w:rsidRPr="0038572F" w:rsidRDefault="00000000">
      <w:pPr>
        <w:pStyle w:val="21"/>
        <w:rPr>
          <w:lang w:val="ru-RU"/>
        </w:rPr>
      </w:pPr>
      <w:r w:rsidRPr="0038572F">
        <w:rPr>
          <w:lang w:val="ru-RU"/>
        </w:rPr>
        <w:t>Этическая проверка</w:t>
      </w:r>
    </w:p>
    <w:p w14:paraId="1181475A" w14:textId="77777777" w:rsidR="00E94563" w:rsidRPr="0038572F" w:rsidRDefault="00000000">
      <w:pPr>
        <w:rPr>
          <w:lang w:val="ru-RU"/>
        </w:rPr>
      </w:pPr>
      <w:r w:rsidRPr="0038572F">
        <w:rPr>
          <w:lang w:val="ru-RU"/>
        </w:rPr>
        <w:t xml:space="preserve">Профессиональный кодекс </w:t>
      </w:r>
      <w:r>
        <w:t>ICC</w:t>
      </w:r>
      <w:r w:rsidRPr="0038572F">
        <w:rPr>
          <w:lang w:val="ru-RU"/>
        </w:rPr>
        <w:t>/</w:t>
      </w:r>
      <w:r>
        <w:t>ESOMAR</w:t>
      </w:r>
      <w:r w:rsidRPr="0038572F">
        <w:rPr>
          <w:lang w:val="ru-RU"/>
        </w:rPr>
        <w:t xml:space="preserve"> задает ориентиры ответственности за исследование и данные [3]. Для учебного проекта проверяют необходимость сведений, понятность участия, безопасность хранения и достоверность сообщения. Это профессиональная рамка; конкретные правовые обязанности определяются применимой юрисдикцией отдельно.</w:t>
      </w:r>
    </w:p>
    <w:p w14:paraId="279B06C9" w14:textId="77777777" w:rsidR="00E94563" w:rsidRPr="0038572F" w:rsidRDefault="00000000">
      <w:pPr>
        <w:rPr>
          <w:lang w:val="ru-RU"/>
        </w:rPr>
      </w:pPr>
      <w:r w:rsidRPr="0038572F">
        <w:rPr>
          <w:lang w:val="ru-RU"/>
        </w:rPr>
        <w:t>Следует спросить, сохраняется ли полезность решения при полном понимании человеком его условий. Если результат зависит от скрытого платежа, ложного ограничения или невозможности отказаться, проект нуждается в пересмотре, а не в более убедительном объяснении.</w:t>
      </w:r>
    </w:p>
    <w:p w14:paraId="0160249D" w14:textId="77777777" w:rsidR="00E94563" w:rsidRPr="0038572F" w:rsidRDefault="00000000">
      <w:pPr>
        <w:pStyle w:val="21"/>
        <w:rPr>
          <w:lang w:val="ru-RU"/>
        </w:rPr>
      </w:pPr>
      <w:r w:rsidRPr="0038572F">
        <w:rPr>
          <w:lang w:val="ru-RU"/>
        </w:rPr>
        <w:t>Журнал изменений</w:t>
      </w:r>
    </w:p>
    <w:p w14:paraId="60695B79" w14:textId="77777777" w:rsidR="00E94563" w:rsidRPr="0038572F" w:rsidRDefault="00000000">
      <w:pPr>
        <w:rPr>
          <w:lang w:val="ru-RU"/>
        </w:rPr>
      </w:pPr>
      <w:r w:rsidRPr="0038572F">
        <w:rPr>
          <w:lang w:val="ru-RU"/>
        </w:rPr>
        <w:t>Сохраняйте версию гипотезы, материалов, правил измерения и решения. После каждого этапа записывайте, что изменено и по какому основанию. Это позволяет отличить развитие проекта от подгонки отчета под удобный итог.</w:t>
      </w:r>
    </w:p>
    <w:p w14:paraId="44E712E4" w14:textId="77777777" w:rsidR="00E94563" w:rsidRPr="0038572F" w:rsidRDefault="00000000">
      <w:pPr>
        <w:pStyle w:val="21"/>
        <w:rPr>
          <w:lang w:val="ru-RU"/>
        </w:rPr>
      </w:pPr>
      <w:r w:rsidRPr="0038572F">
        <w:rPr>
          <w:lang w:val="ru-RU"/>
        </w:rPr>
        <w:t>План наблюдения</w:t>
      </w:r>
    </w:p>
    <w:p w14:paraId="6FCC8347" w14:textId="77777777" w:rsidR="00E94563" w:rsidRPr="0038572F" w:rsidRDefault="00000000">
      <w:pPr>
        <w:rPr>
          <w:lang w:val="ru-RU"/>
        </w:rPr>
      </w:pPr>
      <w:r w:rsidRPr="0038572F">
        <w:rPr>
          <w:lang w:val="ru-RU"/>
        </w:rPr>
        <w:t>Определите период проверки, источники обратной связи и сигнал пересмотра. Например, ухудшение совместимости после обновления ассортимента требует повторной проверки рекомендательных правил. Изменение контекста способно сделать ранее полезное решение менее подходящим.</w:t>
      </w:r>
    </w:p>
    <w:p w14:paraId="13D51B74" w14:textId="77777777" w:rsidR="00E94563" w:rsidRPr="0038572F" w:rsidRDefault="00000000">
      <w:pPr>
        <w:rPr>
          <w:lang w:val="ru-RU"/>
        </w:rPr>
      </w:pPr>
      <w:r w:rsidRPr="0038572F">
        <w:rPr>
          <w:lang w:val="ru-RU"/>
        </w:rPr>
        <w:t>Хорошая стратегия содержит не только обоснование запуска, но и способ признать ошибку, остановить действие и исправить последствия. Такая обратимость особенно важна там, где данные неполны и поведение меняется.</w:t>
      </w:r>
    </w:p>
    <w:p w14:paraId="718AF0E7" w14:textId="77777777" w:rsidR="00E94563" w:rsidRPr="0038572F" w:rsidRDefault="00000000">
      <w:pPr>
        <w:pStyle w:val="1"/>
        <w:pageBreakBefore/>
        <w:rPr>
          <w:lang w:val="ru-RU"/>
        </w:rPr>
      </w:pPr>
      <w:r w:rsidRPr="0038572F">
        <w:rPr>
          <w:lang w:val="ru-RU"/>
        </w:rPr>
        <w:lastRenderedPageBreak/>
        <w:t>6. Разобранный кейс: понятность выбора и дополнительный вклад</w:t>
      </w:r>
    </w:p>
    <w:p w14:paraId="7A48BDDC" w14:textId="77777777" w:rsidR="00E94563" w:rsidRPr="0038572F" w:rsidRDefault="00000000">
      <w:pPr>
        <w:pStyle w:val="Small"/>
        <w:rPr>
          <w:lang w:val="ru-RU"/>
        </w:rPr>
      </w:pPr>
      <w:r w:rsidRPr="0038572F">
        <w:rPr>
          <w:lang w:val="ru-RU"/>
        </w:rPr>
        <w:t>Все данные условные. Кейс показывает логику расчета, а не результат реального эксперимента.</w:t>
      </w:r>
    </w:p>
    <w:p w14:paraId="53A88925" w14:textId="77777777" w:rsidR="00E94563" w:rsidRPr="0038572F" w:rsidRDefault="00000000">
      <w:pPr>
        <w:rPr>
          <w:lang w:val="ru-RU"/>
        </w:rPr>
      </w:pPr>
      <w:r w:rsidRPr="0038572F">
        <w:rPr>
          <w:lang w:val="ru-RU"/>
        </w:rPr>
        <w:t xml:space="preserve">Магазин случайно распределил две группы по 1 000 пользователей между старой и новой страницей совместимости. Цена, наличие и условия обслуживания одинаковы. В контрольной группе купили 80 человек, в тестовой — 100. Каждый совершил не более одной покупки. Вклад после переменных затрат и учтенных возвратов составляет 500 </w:t>
      </w:r>
      <w:proofErr w:type="spellStart"/>
      <w:r w:rsidRPr="0038572F">
        <w:rPr>
          <w:lang w:val="ru-RU"/>
        </w:rPr>
        <w:t>тг</w:t>
      </w:r>
      <w:proofErr w:type="spellEnd"/>
      <w:r w:rsidRPr="0038572F">
        <w:rPr>
          <w:lang w:val="ru-RU"/>
        </w:rPr>
        <w:t xml:space="preserve"> на покупку. Дополнительные затраты тестируемого решения за этот период — 6 000 </w:t>
      </w:r>
      <w:proofErr w:type="spellStart"/>
      <w:r w:rsidRPr="0038572F">
        <w:rPr>
          <w:lang w:val="ru-RU"/>
        </w:rPr>
        <w:t>тг</w:t>
      </w:r>
      <w:proofErr w:type="spellEnd"/>
      <w:r w:rsidRPr="0038572F">
        <w:rPr>
          <w:lang w:val="ru-RU"/>
        </w:rPr>
        <w:t>.</w:t>
      </w:r>
    </w:p>
    <w:p w14:paraId="03A243C3" w14:textId="77777777" w:rsidR="00E94563" w:rsidRPr="0038572F" w:rsidRDefault="00000000">
      <w:pPr>
        <w:pStyle w:val="21"/>
        <w:rPr>
          <w:lang w:val="ru-RU"/>
        </w:rPr>
      </w:pPr>
      <w:r w:rsidRPr="0038572F">
        <w:rPr>
          <w:lang w:val="ru-RU"/>
        </w:rPr>
        <w:t>Рассчитываем изменение</w:t>
      </w:r>
    </w:p>
    <w:p w14:paraId="030E31DD" w14:textId="77777777" w:rsidR="00E94563" w:rsidRPr="0038572F" w:rsidRDefault="00000000">
      <w:pPr>
        <w:rPr>
          <w:lang w:val="ru-RU"/>
        </w:rPr>
      </w:pPr>
      <w:r w:rsidRPr="0038572F">
        <w:rPr>
          <w:lang w:val="ru-RU"/>
        </w:rPr>
        <w:t>Доля покупок в контроле равна 8%, в тесте — 10%. Разница — 2 процентных пункта. Относительный прирост: (10 − 8) / 8 × 100 = 25%. Нельзя называть эту разницу «ростом на 2%»: это другое выражение.</w:t>
      </w:r>
    </w:p>
    <w:p w14:paraId="529B8A3B" w14:textId="77777777" w:rsidR="00E94563" w:rsidRPr="0038572F" w:rsidRDefault="00000000">
      <w:pPr>
        <w:rPr>
          <w:lang w:val="ru-RU"/>
        </w:rPr>
      </w:pPr>
      <w:r w:rsidRPr="0038572F">
        <w:rPr>
          <w:lang w:val="ru-RU"/>
        </w:rPr>
        <w:t xml:space="preserve">Точечная оценка дополнительных покупок на тысячу пользователей составляет 20. Дополнительный вклад до затрат проекта: 20 × 500 = 10 000 </w:t>
      </w:r>
      <w:proofErr w:type="spellStart"/>
      <w:r w:rsidRPr="0038572F">
        <w:rPr>
          <w:lang w:val="ru-RU"/>
        </w:rPr>
        <w:t>тг</w:t>
      </w:r>
      <w:proofErr w:type="spellEnd"/>
      <w:r w:rsidRPr="0038572F">
        <w:rPr>
          <w:lang w:val="ru-RU"/>
        </w:rPr>
        <w:t xml:space="preserve">. После обозначенных затрат: 10 000 − 6 000 = 4 000 </w:t>
      </w:r>
      <w:proofErr w:type="spellStart"/>
      <w:r w:rsidRPr="0038572F">
        <w:rPr>
          <w:lang w:val="ru-RU"/>
        </w:rPr>
        <w:t>тг</w:t>
      </w:r>
      <w:proofErr w:type="spellEnd"/>
      <w:r w:rsidRPr="0038572F">
        <w:rPr>
          <w:lang w:val="ru-RU"/>
        </w:rPr>
        <w:t>. Это оценка для данного периода и объема, а не гарантированная прибыль внедрения.</w:t>
      </w:r>
    </w:p>
    <w:p w14:paraId="3412D3F3" w14:textId="77777777" w:rsidR="00E94563" w:rsidRPr="0038572F" w:rsidRDefault="00000000">
      <w:pPr>
        <w:pStyle w:val="21"/>
        <w:rPr>
          <w:lang w:val="ru-RU"/>
        </w:rPr>
      </w:pPr>
      <w:r w:rsidRPr="0038572F">
        <w:rPr>
          <w:lang w:val="ru-RU"/>
        </w:rPr>
        <w:t>Учитываем неопределенность</w:t>
      </w:r>
    </w:p>
    <w:p w14:paraId="5159EBF1" w14:textId="77777777" w:rsidR="00E94563" w:rsidRPr="0038572F" w:rsidRDefault="00000000">
      <w:pPr>
        <w:rPr>
          <w:lang w:val="ru-RU"/>
        </w:rPr>
      </w:pPr>
      <w:r w:rsidRPr="0038572F">
        <w:rPr>
          <w:lang w:val="ru-RU"/>
        </w:rPr>
        <w:t>Случайное распределение поддерживает сравнение, но статистическая неопределенность здесь отдельно не оценена. Поэтому нельзя считать положительное число достаточным доказательством устойчивого эффекта. Нужны проверка учета, достаточности данных и защитных показателей.</w:t>
      </w:r>
    </w:p>
    <w:p w14:paraId="01BD4E27" w14:textId="77777777" w:rsidR="00E94563" w:rsidRPr="0038572F" w:rsidRDefault="00000000">
      <w:pPr>
        <w:rPr>
          <w:lang w:val="ru-RU"/>
        </w:rPr>
      </w:pPr>
      <w:r w:rsidRPr="0038572F">
        <w:rPr>
          <w:lang w:val="ru-RU"/>
        </w:rPr>
        <w:t xml:space="preserve">Если реальное дополнительное число покупок окажется 10, результат составит 10 × 500 − 6 000 = −1 000 </w:t>
      </w:r>
      <w:proofErr w:type="spellStart"/>
      <w:r w:rsidRPr="0038572F">
        <w:rPr>
          <w:lang w:val="ru-RU"/>
        </w:rPr>
        <w:t>тг</w:t>
      </w:r>
      <w:proofErr w:type="spellEnd"/>
      <w:r w:rsidRPr="0038572F">
        <w:rPr>
          <w:lang w:val="ru-RU"/>
        </w:rPr>
        <w:t>. При 12 покупках получится ноль. Эти сценарии показывают чувствительность решения, но не вероятность каждого исхода.</w:t>
      </w:r>
    </w:p>
    <w:p w14:paraId="566BDA3A" w14:textId="77777777" w:rsidR="00E94563" w:rsidRPr="0038572F" w:rsidRDefault="00000000">
      <w:pPr>
        <w:pStyle w:val="21"/>
        <w:rPr>
          <w:lang w:val="ru-RU"/>
        </w:rPr>
      </w:pPr>
      <w:r w:rsidRPr="0038572F">
        <w:rPr>
          <w:lang w:val="ru-RU"/>
        </w:rPr>
        <w:t>Управленческий вывод</w:t>
      </w:r>
    </w:p>
    <w:p w14:paraId="029FB56C" w14:textId="77777777" w:rsidR="00E94563" w:rsidRPr="0038572F" w:rsidRDefault="00000000">
      <w:pPr>
        <w:rPr>
          <w:lang w:val="ru-RU"/>
        </w:rPr>
      </w:pPr>
      <w:r w:rsidRPr="0038572F">
        <w:rPr>
          <w:lang w:val="ru-RU"/>
        </w:rPr>
        <w:t>Команда уточняет, не выросла ли доля ошибочных выборов, проверяет понимание условий и планирует достаточный период подтверждения эффекта. Масштабирование возможно после оценки качества, неопределенности и расходов при большей нагрузке. Всю выручку тестовой группы нельзя считать результатом новой страницы.</w:t>
      </w:r>
    </w:p>
    <w:p w14:paraId="43FFAC41" w14:textId="77777777" w:rsidR="00E94563" w:rsidRPr="0038572F" w:rsidRDefault="00000000">
      <w:pPr>
        <w:rPr>
          <w:lang w:val="ru-RU"/>
        </w:rPr>
      </w:pPr>
      <w:r w:rsidRPr="0038572F">
        <w:rPr>
          <w:lang w:val="ru-RU"/>
        </w:rPr>
        <w:t>Кейс соединяет четыре уровня: действие пользователя, оценку дополнительного изменения, экономику и ограничения. Исключение любого из них делает решение неполным.</w:t>
      </w:r>
    </w:p>
    <w:p w14:paraId="4280000C" w14:textId="77777777" w:rsidR="00E94563" w:rsidRPr="0038572F" w:rsidRDefault="00000000">
      <w:pPr>
        <w:pStyle w:val="1"/>
        <w:pageBreakBefore/>
        <w:rPr>
          <w:lang w:val="ru-RU"/>
        </w:rPr>
      </w:pPr>
      <w:r w:rsidRPr="0038572F">
        <w:rPr>
          <w:lang w:val="ru-RU"/>
        </w:rPr>
        <w:lastRenderedPageBreak/>
        <w:t>7. Самопроверка и итоговый проект</w:t>
      </w:r>
    </w:p>
    <w:p w14:paraId="438EB350" w14:textId="77777777" w:rsidR="00E94563" w:rsidRPr="0038572F" w:rsidRDefault="00000000">
      <w:pPr>
        <w:pStyle w:val="Question"/>
        <w:rPr>
          <w:lang w:val="ru-RU"/>
        </w:rPr>
      </w:pPr>
      <w:r w:rsidRPr="0038572F">
        <w:rPr>
          <w:lang w:val="ru-RU"/>
        </w:rPr>
        <w:t>1. Почему список инструментов еще не является стратегией?</w:t>
      </w:r>
    </w:p>
    <w:p w14:paraId="5481CD91" w14:textId="77777777" w:rsidR="00E94563" w:rsidRPr="0038572F" w:rsidRDefault="00000000">
      <w:pPr>
        <w:rPr>
          <w:lang w:val="ru-RU"/>
        </w:rPr>
      </w:pPr>
      <w:r w:rsidRPr="0038572F">
        <w:rPr>
          <w:lang w:val="ru-RU"/>
        </w:rPr>
        <w:t>Ориентир: нужны диагноз, аудитория, целевое поведение, механизм, ресурс и способ проверки. Инструмент без этой связи остается предположением.</w:t>
      </w:r>
    </w:p>
    <w:p w14:paraId="12B814C9" w14:textId="77777777" w:rsidR="00E94563" w:rsidRPr="0038572F" w:rsidRDefault="00000000">
      <w:pPr>
        <w:pStyle w:val="Question"/>
        <w:rPr>
          <w:lang w:val="ru-RU"/>
        </w:rPr>
      </w:pPr>
      <w:r w:rsidRPr="0038572F">
        <w:rPr>
          <w:lang w:val="ru-RU"/>
        </w:rPr>
        <w:t>2. Что дает случайное распределение и чего оно не гарантирует?</w:t>
      </w:r>
    </w:p>
    <w:p w14:paraId="3B022615" w14:textId="77777777" w:rsidR="00E94563" w:rsidRPr="0038572F" w:rsidRDefault="00000000">
      <w:pPr>
        <w:rPr>
          <w:lang w:val="ru-RU"/>
        </w:rPr>
      </w:pPr>
      <w:r w:rsidRPr="0038572F">
        <w:rPr>
          <w:lang w:val="ru-RU"/>
        </w:rPr>
        <w:t>Ориентир: уменьшает систематические различия между условиями. Оно не заменяет качество учета, достаточность данных и проверку применимости к рынку.</w:t>
      </w:r>
    </w:p>
    <w:p w14:paraId="5C7BBCE8" w14:textId="77777777" w:rsidR="00E94563" w:rsidRPr="0038572F" w:rsidRDefault="00000000">
      <w:pPr>
        <w:pStyle w:val="Question"/>
        <w:rPr>
          <w:lang w:val="ru-RU"/>
        </w:rPr>
      </w:pPr>
      <w:r w:rsidRPr="0038572F">
        <w:rPr>
          <w:lang w:val="ru-RU"/>
        </w:rPr>
        <w:t>3. Зачем заранее выбирать защитные показатели?</w:t>
      </w:r>
    </w:p>
    <w:p w14:paraId="120B02DA" w14:textId="77777777" w:rsidR="00E94563" w:rsidRPr="0038572F" w:rsidRDefault="00000000">
      <w:pPr>
        <w:rPr>
          <w:lang w:val="ru-RU"/>
        </w:rPr>
      </w:pPr>
      <w:r w:rsidRPr="0038572F">
        <w:rPr>
          <w:lang w:val="ru-RU"/>
        </w:rPr>
        <w:t>Ориентир: чтобы не считать успехом улучшение основной метрики за счет ошибок, непонимания, затрат или ограничений выбора.</w:t>
      </w:r>
    </w:p>
    <w:p w14:paraId="4B790E41" w14:textId="77777777" w:rsidR="00E94563" w:rsidRPr="0038572F" w:rsidRDefault="00000000">
      <w:pPr>
        <w:pStyle w:val="Question"/>
        <w:rPr>
          <w:lang w:val="ru-RU"/>
        </w:rPr>
      </w:pPr>
      <w:r w:rsidRPr="0038572F">
        <w:rPr>
          <w:lang w:val="ru-RU"/>
        </w:rPr>
        <w:t>4. Чем дополнительный результат отличается от всех продаж теста?</w:t>
      </w:r>
    </w:p>
    <w:p w14:paraId="7E24C221" w14:textId="77777777" w:rsidR="00E94563" w:rsidRPr="0038572F" w:rsidRDefault="00000000">
      <w:pPr>
        <w:rPr>
          <w:lang w:val="ru-RU"/>
        </w:rPr>
      </w:pPr>
      <w:r w:rsidRPr="0038572F">
        <w:rPr>
          <w:lang w:val="ru-RU"/>
        </w:rPr>
        <w:t>Ориентир: это изменение относительно обоснованного базового сценария. Часть действий произошла бы без проекта.</w:t>
      </w:r>
    </w:p>
    <w:p w14:paraId="6338691E" w14:textId="77777777" w:rsidR="00E94563" w:rsidRPr="0038572F" w:rsidRDefault="00000000">
      <w:pPr>
        <w:pStyle w:val="Question"/>
        <w:rPr>
          <w:lang w:val="ru-RU"/>
        </w:rPr>
      </w:pPr>
      <w:r w:rsidRPr="0038572F">
        <w:rPr>
          <w:lang w:val="ru-RU"/>
        </w:rPr>
        <w:t>5. Почему неопределенный результат нельзя автоматически считать нулевым?</w:t>
      </w:r>
    </w:p>
    <w:p w14:paraId="06258AEE" w14:textId="77777777" w:rsidR="00E94563" w:rsidRPr="0038572F" w:rsidRDefault="00000000">
      <w:pPr>
        <w:rPr>
          <w:lang w:val="ru-RU"/>
        </w:rPr>
      </w:pPr>
      <w:r w:rsidRPr="0038572F">
        <w:rPr>
          <w:lang w:val="ru-RU"/>
        </w:rPr>
        <w:t>Ориентир: данных может не хватать для надежного вывода. Нужно различать отсутствие эффекта и отсутствие достаточного основания его оценить.</w:t>
      </w:r>
    </w:p>
    <w:p w14:paraId="694F7692" w14:textId="77777777" w:rsidR="00E94563" w:rsidRPr="0038572F" w:rsidRDefault="00000000">
      <w:pPr>
        <w:pStyle w:val="21"/>
        <w:rPr>
          <w:lang w:val="ru-RU"/>
        </w:rPr>
      </w:pPr>
      <w:r w:rsidRPr="0038572F">
        <w:rPr>
          <w:lang w:val="ru-RU"/>
        </w:rPr>
        <w:t>Итоговый проект курса</w:t>
      </w:r>
    </w:p>
    <w:p w14:paraId="28849C07" w14:textId="77777777" w:rsidR="00E94563" w:rsidRPr="0038572F" w:rsidRDefault="00000000">
      <w:pPr>
        <w:rPr>
          <w:lang w:val="ru-RU"/>
        </w:rPr>
      </w:pPr>
      <w:r w:rsidRPr="0038572F">
        <w:rPr>
          <w:lang w:val="ru-RU"/>
        </w:rPr>
        <w:t>Подготовьте стратегию для одного вымышленного или согласованного объекта. Объем — 2 000–3 000 слов; приложение с материалами не включается. Реальный запуск и сбор личных данных не обязательны. Используйте наработки предыдущих недель, но объедините их в согласованный документ.</w:t>
      </w:r>
    </w:p>
    <w:p w14:paraId="02627BFC" w14:textId="77777777" w:rsidR="00E94563" w:rsidRPr="0038572F" w:rsidRDefault="00000000">
      <w:pPr>
        <w:rPr>
          <w:lang w:val="ru-RU"/>
        </w:rPr>
      </w:pPr>
      <w:r w:rsidRPr="0038572F">
        <w:rPr>
          <w:lang w:val="ru-RU"/>
        </w:rPr>
        <w:t>Обязательные части: описание задачи и аудитории; исходные данные с отделением гипотез; анализ мотива, пути и барьера; целевое поведение; сравнение двух решений и выбор; пример материала; план проверки с метриками; ресурсная оценка; риски и критерии остановки; вывод о следующем шаге.</w:t>
      </w:r>
    </w:p>
    <w:p w14:paraId="173B11F2" w14:textId="77777777" w:rsidR="00E94563" w:rsidRPr="0038572F" w:rsidRDefault="00000000">
      <w:pPr>
        <w:rPr>
          <w:lang w:val="ru-RU"/>
        </w:rPr>
      </w:pPr>
      <w:r w:rsidRPr="0038572F">
        <w:rPr>
          <w:lang w:val="ru-RU"/>
        </w:rPr>
        <w:t>Если эмпирических данных нет, представьте учебный сценарий и план исследования. Не выдавайте синтетические ответы или предполагаемый эффект за проведенное наблюдение. Защита должна объяснять решение и его ограничения, а не только демонстрировать оформление.</w:t>
      </w:r>
    </w:p>
    <w:p w14:paraId="502C2883" w14:textId="77777777" w:rsidR="00E94563" w:rsidRPr="0038572F" w:rsidRDefault="00000000">
      <w:pPr>
        <w:pStyle w:val="21"/>
        <w:rPr>
          <w:lang w:val="ru-RU"/>
        </w:rPr>
      </w:pPr>
      <w:r w:rsidRPr="0038572F">
        <w:rPr>
          <w:lang w:val="ru-RU"/>
        </w:rPr>
        <w:t>Критерии оценивания</w:t>
      </w:r>
    </w:p>
    <w:p w14:paraId="491B11E4" w14:textId="77777777" w:rsidR="00E94563" w:rsidRPr="0038572F" w:rsidRDefault="00000000">
      <w:pPr>
        <w:rPr>
          <w:lang w:val="ru-RU"/>
        </w:rPr>
      </w:pPr>
      <w:r w:rsidRPr="0038572F">
        <w:rPr>
          <w:lang w:val="ru-RU"/>
        </w:rPr>
        <w:t>Диагностика и использование понятий — 25%; согласованность решения — 25%; проверка и корректность расчетов — 25%; ресурсы и этические ограничения — 15%; ясность, источники и прозрачность допущений — 10%. Всего — 100%.</w:t>
      </w:r>
    </w:p>
    <w:p w14:paraId="2E8A2BAD" w14:textId="77777777" w:rsidR="00E94563" w:rsidRPr="0038572F" w:rsidRDefault="00000000">
      <w:pPr>
        <w:pStyle w:val="1"/>
        <w:pageBreakBefore/>
        <w:rPr>
          <w:lang w:val="ru-RU"/>
        </w:rPr>
      </w:pPr>
      <w:r w:rsidRPr="0038572F">
        <w:rPr>
          <w:lang w:val="ru-RU"/>
        </w:rPr>
        <w:lastRenderedPageBreak/>
        <w:t>8. Итоги курса и опорные понятия</w:t>
      </w:r>
    </w:p>
    <w:p w14:paraId="05BA4925" w14:textId="77777777" w:rsidR="00E94563" w:rsidRPr="0038572F" w:rsidRDefault="00000000">
      <w:pPr>
        <w:rPr>
          <w:lang w:val="ru-RU"/>
        </w:rPr>
      </w:pPr>
      <w:r w:rsidRPr="0038572F">
        <w:rPr>
          <w:lang w:val="ru-RU"/>
        </w:rPr>
        <w:t>Управление поведением потребителей начинается с понимания задач, мотивов и контекста. Восприятие, социальное влияние, цена, продукт и цифровые средства рассматриваются не изолированно, а как части опыта. Исследование помогает отделить реальную проблему от удобного объяснения, а эксперимент — проверить предложенное изменение.</w:t>
      </w:r>
    </w:p>
    <w:p w14:paraId="5694B3E2" w14:textId="77777777" w:rsidR="00E94563" w:rsidRPr="0038572F" w:rsidRDefault="00000000">
      <w:pPr>
        <w:rPr>
          <w:lang w:val="ru-RU"/>
        </w:rPr>
      </w:pPr>
      <w:r w:rsidRPr="0038572F">
        <w:rPr>
          <w:lang w:val="ru-RU"/>
        </w:rPr>
        <w:t>Убедительная стратегия связывает пользу для человека с экономикой компании и открыто показывает ограничения. Она измеряет дополнительный результат, а не только активность, сохраняет возможность отказаться и предусматривает исправление. Главный итог курса — способность обосновать решение и проверить его, не обещая полного контроля над чужим выбором.</w:t>
      </w:r>
    </w:p>
    <w:p w14:paraId="21C5BBB9" w14:textId="77777777" w:rsidR="00E94563" w:rsidRPr="0038572F" w:rsidRDefault="00000000">
      <w:pPr>
        <w:pStyle w:val="21"/>
        <w:rPr>
          <w:lang w:val="ru-RU"/>
        </w:rPr>
      </w:pPr>
      <w:r w:rsidRPr="0038572F">
        <w:rPr>
          <w:lang w:val="ru-RU"/>
        </w:rPr>
        <w:t>Мини-глоссарий</w:t>
      </w:r>
    </w:p>
    <w:p w14:paraId="39BF5AC9" w14:textId="77777777" w:rsidR="00E94563" w:rsidRPr="0038572F" w:rsidRDefault="00000000">
      <w:pPr>
        <w:rPr>
          <w:lang w:val="ru-RU"/>
        </w:rPr>
      </w:pPr>
      <w:r w:rsidRPr="0038572F">
        <w:rPr>
          <w:b/>
          <w:lang w:val="ru-RU"/>
        </w:rPr>
        <w:t>Целевое поведение</w:t>
      </w:r>
      <w:r w:rsidRPr="0038572F">
        <w:rPr>
          <w:lang w:val="ru-RU"/>
        </w:rPr>
        <w:t xml:space="preserve"> — конкретное действие определенной группы в указанном контексте.</w:t>
      </w:r>
    </w:p>
    <w:p w14:paraId="7D0A9BCB" w14:textId="77777777" w:rsidR="00E94563" w:rsidRPr="0038572F" w:rsidRDefault="00000000">
      <w:pPr>
        <w:rPr>
          <w:lang w:val="ru-RU"/>
        </w:rPr>
      </w:pPr>
      <w:r w:rsidRPr="0038572F">
        <w:rPr>
          <w:b/>
          <w:lang w:val="ru-RU"/>
        </w:rPr>
        <w:t>Гипотеза изменения</w:t>
      </w:r>
      <w:r w:rsidRPr="0038572F">
        <w:rPr>
          <w:lang w:val="ru-RU"/>
        </w:rPr>
        <w:t xml:space="preserve"> — проверяемое предположение о результате и его механизме.</w:t>
      </w:r>
    </w:p>
    <w:p w14:paraId="1B07C597" w14:textId="77777777" w:rsidR="00E94563" w:rsidRPr="0038572F" w:rsidRDefault="00000000">
      <w:pPr>
        <w:rPr>
          <w:lang w:val="ru-RU"/>
        </w:rPr>
      </w:pPr>
      <w:r w:rsidRPr="0038572F">
        <w:rPr>
          <w:b/>
          <w:lang w:val="ru-RU"/>
        </w:rPr>
        <w:t>Контрольная группа</w:t>
      </w:r>
      <w:r w:rsidRPr="0038572F">
        <w:rPr>
          <w:lang w:val="ru-RU"/>
        </w:rPr>
        <w:t xml:space="preserve"> — условие сравнения для оценки изменения относительно базы.</w:t>
      </w:r>
    </w:p>
    <w:p w14:paraId="1433FBAA" w14:textId="77777777" w:rsidR="00E94563" w:rsidRPr="0038572F" w:rsidRDefault="00000000">
      <w:pPr>
        <w:rPr>
          <w:lang w:val="ru-RU"/>
        </w:rPr>
      </w:pPr>
      <w:r w:rsidRPr="0038572F">
        <w:rPr>
          <w:b/>
          <w:lang w:val="ru-RU"/>
        </w:rPr>
        <w:t>Защитный показатель</w:t>
      </w:r>
      <w:r w:rsidRPr="0038572F">
        <w:rPr>
          <w:lang w:val="ru-RU"/>
        </w:rPr>
        <w:t xml:space="preserve"> — критерий, ограничивающий нежелательные последствия.</w:t>
      </w:r>
    </w:p>
    <w:p w14:paraId="294A5903" w14:textId="77777777" w:rsidR="00E94563" w:rsidRPr="0038572F" w:rsidRDefault="00000000">
      <w:pPr>
        <w:rPr>
          <w:lang w:val="ru-RU"/>
        </w:rPr>
      </w:pPr>
      <w:r w:rsidRPr="0038572F">
        <w:rPr>
          <w:b/>
          <w:lang w:val="ru-RU"/>
        </w:rPr>
        <w:t>Дополнительный эффект</w:t>
      </w:r>
      <w:r w:rsidRPr="0038572F">
        <w:rPr>
          <w:lang w:val="ru-RU"/>
        </w:rPr>
        <w:t xml:space="preserve"> — изменение относительно обоснованного сценария без вмешательства.</w:t>
      </w:r>
    </w:p>
    <w:p w14:paraId="2445A108" w14:textId="77777777" w:rsidR="00E94563" w:rsidRPr="0038572F" w:rsidRDefault="00000000">
      <w:pPr>
        <w:rPr>
          <w:lang w:val="ru-RU"/>
        </w:rPr>
      </w:pPr>
      <w:r w:rsidRPr="0038572F">
        <w:rPr>
          <w:b/>
          <w:lang w:val="ru-RU"/>
        </w:rPr>
        <w:t>Масштабирование</w:t>
      </w:r>
      <w:r w:rsidRPr="0038572F">
        <w:rPr>
          <w:lang w:val="ru-RU"/>
        </w:rPr>
        <w:t xml:space="preserve"> — расширение применения после оценки основания, ресурсов и рисков.</w:t>
      </w:r>
    </w:p>
    <w:p w14:paraId="1E3F7AB0" w14:textId="77777777" w:rsidR="00E94563" w:rsidRDefault="00000000">
      <w:pPr>
        <w:pStyle w:val="21"/>
      </w:pPr>
      <w:proofErr w:type="spellStart"/>
      <w:r>
        <w:t>Источники</w:t>
      </w:r>
      <w:proofErr w:type="spellEnd"/>
      <w:r>
        <w:t xml:space="preserve"> и </w:t>
      </w:r>
      <w:proofErr w:type="spellStart"/>
      <w:r>
        <w:t>дальнейшее</w:t>
      </w:r>
      <w:proofErr w:type="spellEnd"/>
      <w:r>
        <w:t xml:space="preserve"> </w:t>
      </w:r>
      <w:proofErr w:type="spellStart"/>
      <w:r>
        <w:t>чтение</w:t>
      </w:r>
      <w:proofErr w:type="spellEnd"/>
    </w:p>
    <w:p w14:paraId="0452700F" w14:textId="77777777" w:rsidR="00E94563" w:rsidRDefault="00000000">
      <w:pPr>
        <w:pStyle w:val="Small"/>
        <w:keepNext/>
      </w:pPr>
      <w:r>
        <w:t>[1] Kohavi R., Henne R. M., Sommerfield D. Practical Guide to Controlled Experiments on the Web: Listen to Your Customers not to the HiPPO. Proceedings of KDD. 2007. Авторская версия статьи.</w:t>
      </w:r>
    </w:p>
    <w:p w14:paraId="69A192D0" w14:textId="77777777" w:rsidR="00E94563" w:rsidRDefault="00000000">
      <w:pPr>
        <w:pStyle w:val="Small"/>
      </w:pPr>
      <w:hyperlink r:id="rId8">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768A2B92" w14:textId="77777777" w:rsidR="00E94563" w:rsidRDefault="00000000">
      <w:pPr>
        <w:pStyle w:val="Small"/>
        <w:keepNext/>
      </w:pPr>
      <w:r>
        <w:t>[2] OECD. Tools and Ethics for Applied Behavioural Insights: The BASIC Toolkit. Paris: OECD Publishing, 2019. DOI: 10.1787/9ea76a8f-en.</w:t>
      </w:r>
    </w:p>
    <w:p w14:paraId="2DB68377" w14:textId="77777777" w:rsidR="00E94563" w:rsidRDefault="00000000">
      <w:pPr>
        <w:pStyle w:val="Small"/>
      </w:pPr>
      <w:hyperlink r:id="rId9">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4DDE36C9" w14:textId="77777777" w:rsidR="00E94563" w:rsidRPr="0038572F" w:rsidRDefault="00000000">
      <w:pPr>
        <w:pStyle w:val="Small"/>
        <w:keepNext/>
        <w:rPr>
          <w:lang w:val="ru-RU"/>
        </w:rPr>
      </w:pPr>
      <w:r>
        <w:t xml:space="preserve">[3] ICC / ESOMAR. International Code on Market, Opinion and Social Research and Data Analytics. </w:t>
      </w:r>
      <w:r w:rsidRPr="0038572F">
        <w:rPr>
          <w:lang w:val="ru-RU"/>
        </w:rPr>
        <w:t>Редакция 2025 года. Профессиональный этический кодекс.</w:t>
      </w:r>
    </w:p>
    <w:p w14:paraId="60E88C97" w14:textId="77777777" w:rsidR="00E94563" w:rsidRPr="0038572F" w:rsidRDefault="00000000">
      <w:pPr>
        <w:pStyle w:val="Small"/>
        <w:rPr>
          <w:lang w:val="ru-RU"/>
        </w:rPr>
      </w:pPr>
      <w:hyperlink r:id="rId10">
        <w:r w:rsidRPr="0038572F">
          <w:rPr>
            <w:color w:val="236C78"/>
            <w:u w:val="single"/>
            <w:lang w:val="ru-RU"/>
          </w:rPr>
          <w:t>Открыть источник</w:t>
        </w:r>
      </w:hyperlink>
    </w:p>
    <w:p w14:paraId="5411221E" w14:textId="220098DC" w:rsidR="00E94563" w:rsidRPr="0038572F" w:rsidRDefault="00E94563">
      <w:pPr>
        <w:rPr>
          <w:lang w:val="ru-RU"/>
        </w:rPr>
      </w:pPr>
    </w:p>
    <w:sectPr w:rsidR="00E94563" w:rsidRPr="0038572F" w:rsidSect="00034616">
      <w:headerReference w:type="default" r:id="rId11"/>
      <w:footerReference w:type="default" r:id="rId12"/>
      <w:pgSz w:w="11906" w:h="16838"/>
      <w:pgMar w:top="1049" w:right="1247" w:bottom="1020"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028BD" w14:textId="77777777" w:rsidR="00BD7987" w:rsidRDefault="00BD7987">
      <w:pPr>
        <w:spacing w:after="0" w:line="240" w:lineRule="auto"/>
      </w:pPr>
      <w:r>
        <w:separator/>
      </w:r>
    </w:p>
  </w:endnote>
  <w:endnote w:type="continuationSeparator" w:id="0">
    <w:p w14:paraId="34D48548" w14:textId="77777777" w:rsidR="00BD7987" w:rsidRDefault="00BD7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2DEF" w14:textId="7FF77803" w:rsidR="00E94563" w:rsidRDefault="00E94563">
    <w:pPr>
      <w:pStyle w:val="a7"/>
      <w:tabs>
        <w:tab w:val="right" w:pos="94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D6E70" w14:textId="77777777" w:rsidR="00BD7987" w:rsidRDefault="00BD7987">
      <w:pPr>
        <w:spacing w:after="0" w:line="240" w:lineRule="auto"/>
      </w:pPr>
      <w:r>
        <w:separator/>
      </w:r>
    </w:p>
  </w:footnote>
  <w:footnote w:type="continuationSeparator" w:id="0">
    <w:p w14:paraId="63207CE2" w14:textId="77777777" w:rsidR="00BD7987" w:rsidRDefault="00BD7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164E" w14:textId="2ABBC168" w:rsidR="00E94563" w:rsidRDefault="00E94563">
    <w:pPr>
      <w:pStyle w:val="a5"/>
      <w:pBdr>
        <w:bottom w:val="single" w:sz="4" w:space="0" w:color="CEDD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14351921">
    <w:abstractNumId w:val="8"/>
  </w:num>
  <w:num w:numId="2" w16cid:durableId="1429884240">
    <w:abstractNumId w:val="6"/>
  </w:num>
  <w:num w:numId="3" w16cid:durableId="322858871">
    <w:abstractNumId w:val="5"/>
  </w:num>
  <w:num w:numId="4" w16cid:durableId="130447798">
    <w:abstractNumId w:val="4"/>
  </w:num>
  <w:num w:numId="5" w16cid:durableId="493834417">
    <w:abstractNumId w:val="7"/>
  </w:num>
  <w:num w:numId="6" w16cid:durableId="339357683">
    <w:abstractNumId w:val="3"/>
  </w:num>
  <w:num w:numId="7" w16cid:durableId="1763649593">
    <w:abstractNumId w:val="2"/>
  </w:num>
  <w:num w:numId="8" w16cid:durableId="653459487">
    <w:abstractNumId w:val="1"/>
  </w:num>
  <w:num w:numId="9" w16cid:durableId="495652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2F"/>
    <w:rsid w:val="00AA1D8D"/>
    <w:rsid w:val="00B47730"/>
    <w:rsid w:val="00BD7987"/>
    <w:rsid w:val="00CB0664"/>
    <w:rsid w:val="00E94563"/>
    <w:rsid w:val="00F91E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92755F"/>
  <w14:defaultImageDpi w14:val="300"/>
  <w15:docId w15:val="{836E7A8E-09E2-42BD-968B-98921779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3323A"/>
      <w:sz w:val="24"/>
    </w:rPr>
  </w:style>
  <w:style w:type="paragraph" w:styleId="1">
    <w:name w:val="heading 1"/>
    <w:basedOn w:val="a1"/>
    <w:next w:val="a1"/>
    <w:link w:val="10"/>
    <w:uiPriority w:val="9"/>
    <w:qFormat/>
    <w:rsid w:val="00FC693F"/>
    <w:pPr>
      <w:keepNext/>
      <w:keepLines/>
      <w:spacing w:before="180" w:after="160"/>
      <w:outlineLvl w:val="0"/>
    </w:pPr>
    <w:rPr>
      <w:rFonts w:asciiTheme="majorHAnsi" w:eastAsiaTheme="majorEastAsia" w:hAnsiTheme="majorHAnsi" w:cstheme="majorBidi"/>
      <w:b/>
      <w:bCs/>
      <w:color w:val="193A4A"/>
      <w:sz w:val="34"/>
      <w:szCs w:val="28"/>
    </w:rPr>
  </w:style>
  <w:style w:type="paragraph" w:styleId="21">
    <w:name w:val="heading 2"/>
    <w:basedOn w:val="a1"/>
    <w:next w:val="a1"/>
    <w:link w:val="22"/>
    <w:uiPriority w:val="9"/>
    <w:unhideWhenUsed/>
    <w:qFormat/>
    <w:rsid w:val="00FC693F"/>
    <w:pPr>
      <w:keepNext/>
      <w:keepLines/>
      <w:spacing w:before="180" w:after="160"/>
      <w:outlineLvl w:val="1"/>
    </w:pPr>
    <w:rPr>
      <w:rFonts w:asciiTheme="majorHAnsi" w:eastAsiaTheme="majorEastAsia" w:hAnsiTheme="majorHAnsi" w:cstheme="majorBidi"/>
      <w:b/>
      <w:bCs/>
      <w:color w:val="236C78"/>
      <w:sz w:val="26"/>
      <w:szCs w:val="26"/>
    </w:rPr>
  </w:style>
  <w:style w:type="paragraph" w:styleId="31">
    <w:name w:val="heading 3"/>
    <w:basedOn w:val="a1"/>
    <w:next w:val="a1"/>
    <w:link w:val="32"/>
    <w:uiPriority w:val="9"/>
    <w:unhideWhenUsed/>
    <w:qFormat/>
    <w:rsid w:val="00FC693F"/>
    <w:pPr>
      <w:keepNext/>
      <w:keepLines/>
      <w:spacing w:before="180" w:after="160"/>
      <w:outlineLvl w:val="2"/>
    </w:pPr>
    <w:rPr>
      <w:rFonts w:asciiTheme="majorHAnsi" w:eastAsiaTheme="majorEastAsia" w:hAnsiTheme="majorHAnsi" w:cstheme="majorBidi"/>
      <w:b/>
      <w:bCs/>
      <w:color w:val="193A4A"/>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A4A"/>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a1"/>
    <w:pPr>
      <w:spacing w:after="100"/>
    </w:pPr>
    <w:rPr>
      <w:rFonts w:ascii="Arial" w:hAnsi="Arial"/>
      <w:sz w:val="21"/>
    </w:rPr>
  </w:style>
  <w:style w:type="paragraph" w:customStyle="1" w:styleId="Small">
    <w:name w:val="Small"/>
    <w:basedOn w:val="a1"/>
    <w:pPr>
      <w:spacing w:after="100"/>
    </w:pPr>
    <w:rPr>
      <w:rFonts w:ascii="Arial" w:hAnsi="Arial"/>
      <w:sz w:val="21"/>
    </w:rPr>
  </w:style>
  <w:style w:type="paragraph" w:customStyle="1" w:styleId="Callout">
    <w:name w:val="Callout"/>
    <w:basedOn w:val="a1"/>
    <w:pPr>
      <w:spacing w:before="100" w:after="200"/>
      <w:ind w:left="142" w:right="85"/>
    </w:pPr>
    <w:rPr>
      <w:rFonts w:ascii="Arial" w:hAnsi="Arial"/>
      <w:color w:val="245C65"/>
      <w:sz w:val="23"/>
    </w:rPr>
  </w:style>
  <w:style w:type="paragraph" w:customStyle="1" w:styleId="Question">
    <w:name w:val="Question"/>
    <w:basedOn w:val="a1"/>
    <w:pPr>
      <w:keepNext/>
      <w:spacing w:after="10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xp-platform.com/Documents/GuideControlledExperiments.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ccwbo.org/news-publications/business-solutions/iccesomar-international-code-market-opinion-social-research-data-analytics/" TargetMode="External"/><Relationship Id="rId4" Type="http://schemas.openxmlformats.org/officeDocument/2006/relationships/settings" Target="settings.xml"/><Relationship Id="rId9" Type="http://schemas.openxmlformats.org/officeDocument/2006/relationships/hyperlink" Target="https://www.oecd.org/en/publications/tools-and-ethics-for-applied-behavioural-insights-the-basic-toolkit_9ea76a8f-en.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2729</Words>
  <Characters>15560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Проектирование и оценка стратегии управления поведением потребителей</dc:title>
  <dc:subject>Управление поведением потребителей на рынке — лекционный курс</dc:subject>
  <dc:creator>Учебные материалы</dc:creator>
  <cp:keywords>бакалавриат; потребительское поведение; дистанционное обучение</cp:keywords>
  <dc:description>generated by python-docx</dc:description>
  <cp:lastModifiedBy>Mikhail Sizov</cp:lastModifiedBy>
  <cp:revision>3</cp:revision>
  <dcterms:created xsi:type="dcterms:W3CDTF">2013-12-23T23:15:00Z</dcterms:created>
  <dcterms:modified xsi:type="dcterms:W3CDTF">2026-09-28T09:55:00Z</dcterms:modified>
  <cp:category/>
</cp:coreProperties>
</file>