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DE33E" w14:textId="77777777" w:rsidR="00641D70" w:rsidRPr="00641FF1" w:rsidRDefault="00000000">
      <w:pPr>
        <w:pStyle w:val="aa"/>
        <w:rPr>
          <w:lang w:val="ru-RU"/>
        </w:rPr>
      </w:pPr>
      <w:r w:rsidRPr="00641FF1">
        <w:rPr>
          <w:lang w:val="ru-RU"/>
        </w:rPr>
        <w:t>Удовлетворенность, лояльность и отношения с клиентами</w:t>
      </w:r>
    </w:p>
    <w:p w14:paraId="1D3389E8" w14:textId="77777777" w:rsidR="00641D70" w:rsidRPr="00641FF1" w:rsidRDefault="00000000">
      <w:pPr>
        <w:pStyle w:val="Small"/>
        <w:rPr>
          <w:lang w:val="ru-RU"/>
        </w:rPr>
      </w:pPr>
      <w:r w:rsidRPr="00641FF1">
        <w:rPr>
          <w:lang w:val="ru-RU"/>
        </w:rPr>
        <w:t>Лекция 14 • Неделя 14 • Курс «Управление поведением потребителей на рынке»</w:t>
      </w:r>
    </w:p>
    <w:p w14:paraId="22C1ED2D" w14:textId="77777777" w:rsidR="00641D70" w:rsidRPr="00641FF1" w:rsidRDefault="00000000">
      <w:pPr>
        <w:pStyle w:val="21"/>
        <w:rPr>
          <w:lang w:val="ru-RU"/>
        </w:rPr>
      </w:pPr>
      <w:r w:rsidRPr="00641FF1">
        <w:rPr>
          <w:lang w:val="ru-RU"/>
        </w:rPr>
        <w:t>Вопросы лекции</w:t>
      </w:r>
    </w:p>
    <w:p w14:paraId="04B48BA7" w14:textId="77777777" w:rsidR="00641D70" w:rsidRPr="00641FF1" w:rsidRDefault="00000000">
      <w:pPr>
        <w:pStyle w:val="Question"/>
        <w:rPr>
          <w:lang w:val="ru-RU"/>
        </w:rPr>
      </w:pPr>
      <w:r w:rsidRPr="00641FF1">
        <w:rPr>
          <w:lang w:val="ru-RU"/>
        </w:rPr>
        <w:t>1. Чем удовлетворенность отличается от лояльности и инерции?</w:t>
      </w:r>
    </w:p>
    <w:p w14:paraId="1D5E30E7" w14:textId="77777777" w:rsidR="00641D70" w:rsidRPr="00641FF1" w:rsidRDefault="00000000">
      <w:pPr>
        <w:pStyle w:val="Question"/>
        <w:rPr>
          <w:lang w:val="ru-RU"/>
        </w:rPr>
      </w:pPr>
      <w:r w:rsidRPr="00641FF1">
        <w:rPr>
          <w:lang w:val="ru-RU"/>
        </w:rPr>
        <w:t>2. Как измерять опыт, удержание и отток?</w:t>
      </w:r>
    </w:p>
    <w:p w14:paraId="4186E057" w14:textId="77777777" w:rsidR="00641D70" w:rsidRPr="00641FF1" w:rsidRDefault="00000000">
      <w:pPr>
        <w:pStyle w:val="Question"/>
        <w:rPr>
          <w:lang w:val="ru-RU"/>
        </w:rPr>
      </w:pPr>
      <w:r w:rsidRPr="00641FF1">
        <w:rPr>
          <w:lang w:val="ru-RU"/>
        </w:rPr>
        <w:t>3. Как анализировать когорты и ценность клиента?</w:t>
      </w:r>
    </w:p>
    <w:p w14:paraId="6E593BF3" w14:textId="77777777" w:rsidR="00641D70" w:rsidRPr="00641FF1" w:rsidRDefault="00000000">
      <w:pPr>
        <w:pStyle w:val="Question"/>
        <w:rPr>
          <w:lang w:val="ru-RU"/>
        </w:rPr>
      </w:pPr>
      <w:r w:rsidRPr="00641FF1">
        <w:rPr>
          <w:lang w:val="ru-RU"/>
        </w:rPr>
        <w:t>4. Как работать с жалобами и восстанавливать обслуживание?</w:t>
      </w:r>
    </w:p>
    <w:p w14:paraId="705DCB04" w14:textId="77777777" w:rsidR="00641D70" w:rsidRPr="00641FF1" w:rsidRDefault="00000000">
      <w:pPr>
        <w:pStyle w:val="Question"/>
        <w:rPr>
          <w:lang w:val="ru-RU"/>
        </w:rPr>
      </w:pPr>
      <w:r w:rsidRPr="00641FF1">
        <w:rPr>
          <w:lang w:val="ru-RU"/>
        </w:rPr>
        <w:t>5. Как проектировать программы отношений без принуждения?</w:t>
      </w:r>
    </w:p>
    <w:p w14:paraId="09F00533" w14:textId="77777777" w:rsidR="00641D70" w:rsidRPr="00641FF1" w:rsidRDefault="00000000">
      <w:pPr>
        <w:pStyle w:val="1"/>
        <w:pageBreakBefore/>
        <w:rPr>
          <w:lang w:val="ru-RU"/>
        </w:rPr>
      </w:pPr>
      <w:r w:rsidRPr="00641FF1">
        <w:rPr>
          <w:lang w:val="ru-RU"/>
        </w:rPr>
        <w:lastRenderedPageBreak/>
        <w:t>1. Удовлетворенность и качество обслуживания</w:t>
      </w:r>
    </w:p>
    <w:p w14:paraId="58042DDF" w14:textId="77777777" w:rsidR="00641D70" w:rsidRPr="00641FF1" w:rsidRDefault="00000000">
      <w:pPr>
        <w:rPr>
          <w:lang w:val="ru-RU"/>
        </w:rPr>
      </w:pPr>
      <w:r w:rsidRPr="00641FF1">
        <w:rPr>
          <w:lang w:val="ru-RU"/>
        </w:rPr>
        <w:t>В учебном анализе удовлетворенность понимается как оценка конкретного опыта или отношений в целом. Она зависит от того, какой результат человек считает значимым и с чем его сравнивает. Поэтому вопрос «Вы довольны?» без указания события, периода и предмета оценки может объединять разные суждения: о товаре, доставке, цене или обращении в поддержку.</w:t>
      </w:r>
    </w:p>
    <w:p w14:paraId="3360B4A1" w14:textId="77777777" w:rsidR="00641D70" w:rsidRPr="00641FF1" w:rsidRDefault="00000000">
      <w:pPr>
        <w:pStyle w:val="21"/>
        <w:rPr>
          <w:lang w:val="ru-RU"/>
        </w:rPr>
      </w:pPr>
      <w:r w:rsidRPr="00641FF1">
        <w:rPr>
          <w:lang w:val="ru-RU"/>
        </w:rPr>
        <w:t>Ожидания и воспринятый результат</w:t>
      </w:r>
    </w:p>
    <w:p w14:paraId="1FFE5E8E" w14:textId="77777777" w:rsidR="00641D70" w:rsidRPr="00641FF1" w:rsidRDefault="00000000">
      <w:pPr>
        <w:rPr>
          <w:lang w:val="ru-RU"/>
        </w:rPr>
      </w:pPr>
      <w:r w:rsidRPr="00641FF1">
        <w:rPr>
          <w:lang w:val="ru-RU"/>
        </w:rPr>
        <w:t>Ожидания формируются до взаимодействия и уточняются в процессе. На них влияют обещания компании, предыдущий опыт и условия ситуации. Покупатель может быть недоволен своевременно доставленным товаром, если реклама создала ожидание другого состава. Вместе с тем низкие ожидания не превращают недостаточное качество в приемлемую управленческую цель.</w:t>
      </w:r>
    </w:p>
    <w:p w14:paraId="7C7E2DCC" w14:textId="77777777" w:rsidR="00641D70" w:rsidRPr="00641FF1" w:rsidRDefault="00000000">
      <w:pPr>
        <w:rPr>
          <w:lang w:val="ru-RU"/>
        </w:rPr>
      </w:pPr>
      <w:r w:rsidRPr="00641FF1">
        <w:rPr>
          <w:lang w:val="ru-RU"/>
        </w:rPr>
        <w:t>Модель разрывов качества услуг помогает различать непонимание ожиданий, недостатки стандартов, исполнения и внешних обещаний [1]. В нашем применении модель используется как набор диагностических вопросов, а не как готовая формула, автоматически устанавливающая причину жалобы.</w:t>
      </w:r>
    </w:p>
    <w:tbl>
      <w:tblPr>
        <w:tblW w:w="0" w:type="auto"/>
        <w:jc w:val="center"/>
        <w:tblLayout w:type="fixed"/>
        <w:tblLook w:val="04A0" w:firstRow="1" w:lastRow="0" w:firstColumn="1" w:lastColumn="0" w:noHBand="0" w:noVBand="1"/>
      </w:tblPr>
      <w:tblGrid>
        <w:gridCol w:w="2154"/>
        <w:gridCol w:w="3402"/>
        <w:gridCol w:w="3855"/>
      </w:tblGrid>
      <w:tr w:rsidR="00641D70" w14:paraId="1369C17E" w14:textId="77777777">
        <w:trPr>
          <w:cantSplit/>
          <w:tblHeader/>
          <w:jc w:val="center"/>
        </w:trPr>
        <w:tc>
          <w:tcPr>
            <w:tcW w:w="2154" w:type="dxa"/>
            <w:shd w:val="clear" w:color="auto" w:fill="254656"/>
            <w:tcMar>
              <w:top w:w="85" w:type="dxa"/>
              <w:left w:w="105" w:type="dxa"/>
              <w:bottom w:w="85" w:type="dxa"/>
              <w:right w:w="105" w:type="dxa"/>
            </w:tcMar>
            <w:vAlign w:val="center"/>
          </w:tcPr>
          <w:p w14:paraId="0FAFDE81" w14:textId="77777777" w:rsidR="00641D70" w:rsidRDefault="00000000">
            <w:pPr>
              <w:pStyle w:val="TableText"/>
            </w:pPr>
            <w:proofErr w:type="spellStart"/>
            <w:r>
              <w:rPr>
                <w:rFonts w:eastAsia="Arial" w:cs="Arial"/>
                <w:b/>
                <w:color w:val="FFFFFF"/>
              </w:rPr>
              <w:t>Возможный</w:t>
            </w:r>
            <w:proofErr w:type="spellEnd"/>
            <w:r>
              <w:rPr>
                <w:rFonts w:eastAsia="Arial" w:cs="Arial"/>
                <w:b/>
                <w:color w:val="FFFFFF"/>
              </w:rPr>
              <w:t xml:space="preserve"> </w:t>
            </w:r>
            <w:proofErr w:type="spellStart"/>
            <w:r>
              <w:rPr>
                <w:rFonts w:eastAsia="Arial" w:cs="Arial"/>
                <w:b/>
                <w:color w:val="FFFFFF"/>
              </w:rPr>
              <w:t>разрыв</w:t>
            </w:r>
            <w:proofErr w:type="spellEnd"/>
          </w:p>
        </w:tc>
        <w:tc>
          <w:tcPr>
            <w:tcW w:w="3402" w:type="dxa"/>
            <w:shd w:val="clear" w:color="auto" w:fill="254656"/>
            <w:tcMar>
              <w:top w:w="85" w:type="dxa"/>
              <w:left w:w="105" w:type="dxa"/>
              <w:bottom w:w="85" w:type="dxa"/>
              <w:right w:w="105" w:type="dxa"/>
            </w:tcMar>
            <w:vAlign w:val="center"/>
          </w:tcPr>
          <w:p w14:paraId="68F7A3D9" w14:textId="77777777" w:rsidR="00641D70" w:rsidRDefault="00000000">
            <w:pPr>
              <w:pStyle w:val="TableText"/>
            </w:pPr>
            <w:r>
              <w:rPr>
                <w:rFonts w:eastAsia="Arial" w:cs="Arial"/>
                <w:b/>
                <w:color w:val="FFFFFF"/>
              </w:rPr>
              <w:t>Пример в учебном сервисе</w:t>
            </w:r>
          </w:p>
        </w:tc>
        <w:tc>
          <w:tcPr>
            <w:tcW w:w="3855" w:type="dxa"/>
            <w:shd w:val="clear" w:color="auto" w:fill="254656"/>
            <w:tcMar>
              <w:top w:w="85" w:type="dxa"/>
              <w:left w:w="105" w:type="dxa"/>
              <w:bottom w:w="85" w:type="dxa"/>
              <w:right w:w="105" w:type="dxa"/>
            </w:tcMar>
            <w:vAlign w:val="center"/>
          </w:tcPr>
          <w:p w14:paraId="7F55A361" w14:textId="77777777" w:rsidR="00641D70" w:rsidRDefault="00000000">
            <w:pPr>
              <w:pStyle w:val="TableText"/>
            </w:pPr>
            <w:r>
              <w:rPr>
                <w:rFonts w:eastAsia="Arial" w:cs="Arial"/>
                <w:b/>
                <w:color w:val="FFFFFF"/>
              </w:rPr>
              <w:t>Что проверять</w:t>
            </w:r>
          </w:p>
        </w:tc>
      </w:tr>
      <w:tr w:rsidR="00641D70" w14:paraId="44CFF965" w14:textId="77777777">
        <w:trPr>
          <w:cantSplit/>
          <w:jc w:val="center"/>
        </w:trPr>
        <w:tc>
          <w:tcPr>
            <w:tcW w:w="2154" w:type="dxa"/>
            <w:shd w:val="clear" w:color="auto" w:fill="F0F5F7"/>
            <w:tcMar>
              <w:top w:w="85" w:type="dxa"/>
              <w:left w:w="105" w:type="dxa"/>
              <w:bottom w:w="85" w:type="dxa"/>
              <w:right w:w="105" w:type="dxa"/>
            </w:tcMar>
            <w:vAlign w:val="center"/>
          </w:tcPr>
          <w:p w14:paraId="5B30BEFC" w14:textId="77777777" w:rsidR="00641D70" w:rsidRDefault="00000000">
            <w:pPr>
              <w:pStyle w:val="TableText"/>
            </w:pPr>
            <w:r>
              <w:rPr>
                <w:rFonts w:eastAsia="Arial" w:cs="Arial"/>
                <w:color w:val="243B48"/>
              </w:rPr>
              <w:t>Ожидания не изучены</w:t>
            </w:r>
          </w:p>
        </w:tc>
        <w:tc>
          <w:tcPr>
            <w:tcW w:w="3402" w:type="dxa"/>
            <w:shd w:val="clear" w:color="auto" w:fill="F0F5F7"/>
            <w:tcMar>
              <w:top w:w="85" w:type="dxa"/>
              <w:left w:w="105" w:type="dxa"/>
              <w:bottom w:w="85" w:type="dxa"/>
              <w:right w:w="105" w:type="dxa"/>
            </w:tcMar>
            <w:vAlign w:val="center"/>
          </w:tcPr>
          <w:p w14:paraId="781BBCEF" w14:textId="77777777" w:rsidR="00641D70" w:rsidRPr="00641FF1" w:rsidRDefault="00000000">
            <w:pPr>
              <w:pStyle w:val="TableText"/>
              <w:rPr>
                <w:lang w:val="ru-RU"/>
              </w:rPr>
            </w:pPr>
            <w:r w:rsidRPr="00641FF1">
              <w:rPr>
                <w:rFonts w:eastAsia="Arial" w:cs="Arial"/>
                <w:color w:val="243B48"/>
                <w:lang w:val="ru-RU"/>
              </w:rPr>
              <w:t>Важна точность времени, измеряют только скорость</w:t>
            </w:r>
          </w:p>
        </w:tc>
        <w:tc>
          <w:tcPr>
            <w:tcW w:w="3855" w:type="dxa"/>
            <w:shd w:val="clear" w:color="auto" w:fill="F0F5F7"/>
            <w:tcMar>
              <w:top w:w="85" w:type="dxa"/>
              <w:left w:w="105" w:type="dxa"/>
              <w:bottom w:w="85" w:type="dxa"/>
              <w:right w:w="105" w:type="dxa"/>
            </w:tcMar>
            <w:vAlign w:val="center"/>
          </w:tcPr>
          <w:p w14:paraId="5B2C1289" w14:textId="77777777" w:rsidR="00641D70" w:rsidRDefault="00000000">
            <w:pPr>
              <w:pStyle w:val="TableText"/>
            </w:pPr>
            <w:proofErr w:type="spellStart"/>
            <w:r>
              <w:rPr>
                <w:rFonts w:eastAsia="Arial" w:cs="Arial"/>
                <w:color w:val="243B48"/>
              </w:rPr>
              <w:t>Интервью</w:t>
            </w:r>
            <w:proofErr w:type="spellEnd"/>
            <w:r>
              <w:rPr>
                <w:rFonts w:eastAsia="Arial" w:cs="Arial"/>
                <w:color w:val="243B48"/>
              </w:rPr>
              <w:t xml:space="preserve"> о </w:t>
            </w:r>
            <w:proofErr w:type="spellStart"/>
            <w:r>
              <w:rPr>
                <w:rFonts w:eastAsia="Arial" w:cs="Arial"/>
                <w:color w:val="243B48"/>
              </w:rPr>
              <w:t>ситуации</w:t>
            </w:r>
            <w:proofErr w:type="spellEnd"/>
            <w:r>
              <w:rPr>
                <w:rFonts w:eastAsia="Arial" w:cs="Arial"/>
                <w:color w:val="243B48"/>
              </w:rPr>
              <w:t xml:space="preserve"> </w:t>
            </w:r>
            <w:proofErr w:type="spellStart"/>
            <w:r>
              <w:rPr>
                <w:rFonts w:eastAsia="Arial" w:cs="Arial"/>
                <w:color w:val="243B48"/>
              </w:rPr>
              <w:t>использования</w:t>
            </w:r>
            <w:proofErr w:type="spellEnd"/>
          </w:p>
        </w:tc>
      </w:tr>
      <w:tr w:rsidR="00641D70" w14:paraId="1AFD18E7" w14:textId="77777777">
        <w:trPr>
          <w:cantSplit/>
          <w:jc w:val="center"/>
        </w:trPr>
        <w:tc>
          <w:tcPr>
            <w:tcW w:w="2154" w:type="dxa"/>
            <w:shd w:val="clear" w:color="auto" w:fill="FFFFFF"/>
            <w:tcMar>
              <w:top w:w="85" w:type="dxa"/>
              <w:left w:w="105" w:type="dxa"/>
              <w:bottom w:w="85" w:type="dxa"/>
              <w:right w:w="105" w:type="dxa"/>
            </w:tcMar>
            <w:vAlign w:val="center"/>
          </w:tcPr>
          <w:p w14:paraId="799F798B" w14:textId="77777777" w:rsidR="00641D70" w:rsidRDefault="00000000">
            <w:pPr>
              <w:pStyle w:val="TableText"/>
            </w:pPr>
            <w:r>
              <w:rPr>
                <w:rFonts w:eastAsia="Arial" w:cs="Arial"/>
                <w:color w:val="243B48"/>
              </w:rPr>
              <w:t>Стандарт не определен</w:t>
            </w:r>
          </w:p>
        </w:tc>
        <w:tc>
          <w:tcPr>
            <w:tcW w:w="3402" w:type="dxa"/>
            <w:shd w:val="clear" w:color="auto" w:fill="FFFFFF"/>
            <w:tcMar>
              <w:top w:w="85" w:type="dxa"/>
              <w:left w:w="105" w:type="dxa"/>
              <w:bottom w:w="85" w:type="dxa"/>
              <w:right w:w="105" w:type="dxa"/>
            </w:tcMar>
            <w:vAlign w:val="center"/>
          </w:tcPr>
          <w:p w14:paraId="7606D23D" w14:textId="77777777" w:rsidR="00641D70" w:rsidRPr="00641FF1" w:rsidRDefault="00000000">
            <w:pPr>
              <w:pStyle w:val="TableText"/>
              <w:rPr>
                <w:lang w:val="ru-RU"/>
              </w:rPr>
            </w:pPr>
            <w:r w:rsidRPr="00641FF1">
              <w:rPr>
                <w:rFonts w:eastAsia="Arial" w:cs="Arial"/>
                <w:color w:val="243B48"/>
                <w:lang w:val="ru-RU"/>
              </w:rPr>
              <w:t>Сотрудники по-разному объясняют замену</w:t>
            </w:r>
          </w:p>
        </w:tc>
        <w:tc>
          <w:tcPr>
            <w:tcW w:w="3855" w:type="dxa"/>
            <w:shd w:val="clear" w:color="auto" w:fill="FFFFFF"/>
            <w:tcMar>
              <w:top w:w="85" w:type="dxa"/>
              <w:left w:w="105" w:type="dxa"/>
              <w:bottom w:w="85" w:type="dxa"/>
              <w:right w:w="105" w:type="dxa"/>
            </w:tcMar>
            <w:vAlign w:val="center"/>
          </w:tcPr>
          <w:p w14:paraId="7EBC5B07" w14:textId="77777777" w:rsidR="00641D70" w:rsidRDefault="00000000">
            <w:pPr>
              <w:pStyle w:val="TableText"/>
            </w:pPr>
            <w:proofErr w:type="spellStart"/>
            <w:r>
              <w:rPr>
                <w:rFonts w:eastAsia="Arial" w:cs="Arial"/>
                <w:color w:val="243B48"/>
              </w:rPr>
              <w:t>Правила</w:t>
            </w:r>
            <w:proofErr w:type="spellEnd"/>
            <w:r>
              <w:rPr>
                <w:rFonts w:eastAsia="Arial" w:cs="Arial"/>
                <w:color w:val="243B48"/>
              </w:rPr>
              <w:t xml:space="preserve"> и </w:t>
            </w:r>
            <w:proofErr w:type="spellStart"/>
            <w:r>
              <w:rPr>
                <w:rFonts w:eastAsia="Arial" w:cs="Arial"/>
                <w:color w:val="243B48"/>
              </w:rPr>
              <w:t>полномочия</w:t>
            </w:r>
            <w:proofErr w:type="spellEnd"/>
          </w:p>
        </w:tc>
      </w:tr>
      <w:tr w:rsidR="00641D70" w14:paraId="45EE26E3" w14:textId="77777777">
        <w:trPr>
          <w:cantSplit/>
          <w:jc w:val="center"/>
        </w:trPr>
        <w:tc>
          <w:tcPr>
            <w:tcW w:w="2154" w:type="dxa"/>
            <w:shd w:val="clear" w:color="auto" w:fill="F0F5F7"/>
            <w:tcMar>
              <w:top w:w="85" w:type="dxa"/>
              <w:left w:w="105" w:type="dxa"/>
              <w:bottom w:w="85" w:type="dxa"/>
              <w:right w:w="105" w:type="dxa"/>
            </w:tcMar>
            <w:vAlign w:val="center"/>
          </w:tcPr>
          <w:p w14:paraId="7AB1050B" w14:textId="77777777" w:rsidR="00641D70" w:rsidRDefault="00000000">
            <w:pPr>
              <w:pStyle w:val="TableText"/>
            </w:pPr>
            <w:r>
              <w:rPr>
                <w:rFonts w:eastAsia="Arial" w:cs="Arial"/>
                <w:color w:val="243B48"/>
              </w:rPr>
              <w:t>Стандарт не выполнен</w:t>
            </w:r>
          </w:p>
        </w:tc>
        <w:tc>
          <w:tcPr>
            <w:tcW w:w="3402" w:type="dxa"/>
            <w:shd w:val="clear" w:color="auto" w:fill="F0F5F7"/>
            <w:tcMar>
              <w:top w:w="85" w:type="dxa"/>
              <w:left w:w="105" w:type="dxa"/>
              <w:bottom w:w="85" w:type="dxa"/>
              <w:right w:w="105" w:type="dxa"/>
            </w:tcMar>
            <w:vAlign w:val="center"/>
          </w:tcPr>
          <w:p w14:paraId="741B80DC" w14:textId="77777777" w:rsidR="00641D70" w:rsidRDefault="00000000">
            <w:pPr>
              <w:pStyle w:val="TableText"/>
            </w:pPr>
            <w:r>
              <w:rPr>
                <w:rFonts w:eastAsia="Arial" w:cs="Arial"/>
                <w:color w:val="243B48"/>
              </w:rPr>
              <w:t>Подтвержденное время не соблюдено</w:t>
            </w:r>
          </w:p>
        </w:tc>
        <w:tc>
          <w:tcPr>
            <w:tcW w:w="3855" w:type="dxa"/>
            <w:shd w:val="clear" w:color="auto" w:fill="F0F5F7"/>
            <w:tcMar>
              <w:top w:w="85" w:type="dxa"/>
              <w:left w:w="105" w:type="dxa"/>
              <w:bottom w:w="85" w:type="dxa"/>
              <w:right w:w="105" w:type="dxa"/>
            </w:tcMar>
            <w:vAlign w:val="center"/>
          </w:tcPr>
          <w:p w14:paraId="5E2B8084" w14:textId="77777777" w:rsidR="00641D70" w:rsidRDefault="00000000">
            <w:pPr>
              <w:pStyle w:val="TableText"/>
            </w:pPr>
            <w:r>
              <w:rPr>
                <w:rFonts w:eastAsia="Arial" w:cs="Arial"/>
                <w:color w:val="243B48"/>
              </w:rPr>
              <w:t>Ход выполнения заказа</w:t>
            </w:r>
          </w:p>
        </w:tc>
      </w:tr>
      <w:tr w:rsidR="00641D70" w14:paraId="70EFC784" w14:textId="77777777">
        <w:trPr>
          <w:cantSplit/>
          <w:jc w:val="center"/>
        </w:trPr>
        <w:tc>
          <w:tcPr>
            <w:tcW w:w="2154" w:type="dxa"/>
            <w:shd w:val="clear" w:color="auto" w:fill="FFFFFF"/>
            <w:tcMar>
              <w:top w:w="85" w:type="dxa"/>
              <w:left w:w="105" w:type="dxa"/>
              <w:bottom w:w="85" w:type="dxa"/>
              <w:right w:w="105" w:type="dxa"/>
            </w:tcMar>
            <w:vAlign w:val="center"/>
          </w:tcPr>
          <w:p w14:paraId="5C56B19F" w14:textId="77777777" w:rsidR="00641D70" w:rsidRDefault="00000000">
            <w:pPr>
              <w:pStyle w:val="TableText"/>
            </w:pPr>
            <w:r>
              <w:rPr>
                <w:rFonts w:eastAsia="Arial" w:cs="Arial"/>
                <w:color w:val="243B48"/>
              </w:rPr>
              <w:t>Обещание завышено</w:t>
            </w:r>
          </w:p>
        </w:tc>
        <w:tc>
          <w:tcPr>
            <w:tcW w:w="3402" w:type="dxa"/>
            <w:shd w:val="clear" w:color="auto" w:fill="FFFFFF"/>
            <w:tcMar>
              <w:top w:w="85" w:type="dxa"/>
              <w:left w:w="105" w:type="dxa"/>
              <w:bottom w:w="85" w:type="dxa"/>
              <w:right w:w="105" w:type="dxa"/>
            </w:tcMar>
            <w:vAlign w:val="center"/>
          </w:tcPr>
          <w:p w14:paraId="04E914D4" w14:textId="77777777" w:rsidR="00641D70" w:rsidRDefault="00000000">
            <w:pPr>
              <w:pStyle w:val="TableText"/>
            </w:pPr>
            <w:r>
              <w:rPr>
                <w:rFonts w:eastAsia="Arial" w:cs="Arial"/>
                <w:color w:val="243B48"/>
              </w:rPr>
              <w:t>Реклама не соответствует возможностям</w:t>
            </w:r>
          </w:p>
        </w:tc>
        <w:tc>
          <w:tcPr>
            <w:tcW w:w="3855" w:type="dxa"/>
            <w:shd w:val="clear" w:color="auto" w:fill="FFFFFF"/>
            <w:tcMar>
              <w:top w:w="85" w:type="dxa"/>
              <w:left w:w="105" w:type="dxa"/>
              <w:bottom w:w="85" w:type="dxa"/>
              <w:right w:w="105" w:type="dxa"/>
            </w:tcMar>
            <w:vAlign w:val="center"/>
          </w:tcPr>
          <w:p w14:paraId="7CD0CA5A" w14:textId="77777777" w:rsidR="00641D70" w:rsidRDefault="00000000">
            <w:pPr>
              <w:pStyle w:val="TableText"/>
            </w:pPr>
            <w:r>
              <w:rPr>
                <w:rFonts w:eastAsia="Arial" w:cs="Arial"/>
                <w:color w:val="243B48"/>
              </w:rPr>
              <w:t>Все версии сообщений</w:t>
            </w:r>
          </w:p>
        </w:tc>
      </w:tr>
    </w:tbl>
    <w:p w14:paraId="39C617A7" w14:textId="77777777" w:rsidR="00641D70" w:rsidRDefault="00641D70">
      <w:pPr>
        <w:spacing w:after="0"/>
      </w:pPr>
    </w:p>
    <w:p w14:paraId="7F862F84" w14:textId="77777777" w:rsidR="00641D70" w:rsidRDefault="00000000">
      <w:pPr>
        <w:pStyle w:val="21"/>
      </w:pPr>
      <w:r>
        <w:t>Транзакционная и общая оценка</w:t>
      </w:r>
    </w:p>
    <w:p w14:paraId="59D9D097" w14:textId="77777777" w:rsidR="00641D70" w:rsidRPr="00641FF1" w:rsidRDefault="00000000">
      <w:pPr>
        <w:rPr>
          <w:lang w:val="ru-RU"/>
        </w:rPr>
      </w:pPr>
      <w:r w:rsidRPr="00641FF1">
        <w:rPr>
          <w:lang w:val="ru-RU"/>
        </w:rPr>
        <w:t>Транзакционная оценка относится к одному эпизоду: например, получению последнего заказа. Общая относится к накопленному опыту. Их полезно сопоставлять, но не смешивать. Единственная неудача не описывает все отношения, а высокая общая оценка не отменяет конкретную ошибку.</w:t>
      </w:r>
    </w:p>
    <w:p w14:paraId="14241197" w14:textId="77777777" w:rsidR="00641D70" w:rsidRPr="00641FF1" w:rsidRDefault="00000000">
      <w:pPr>
        <w:rPr>
          <w:lang w:val="ru-RU"/>
        </w:rPr>
      </w:pPr>
      <w:r w:rsidRPr="00641FF1">
        <w:rPr>
          <w:lang w:val="ru-RU"/>
        </w:rPr>
        <w:t>Подход к клиентскому опыту через путь потребителя напоминает о множественности контактов и участников процесса [2]. Поэтому диагностика должна включать взаимодействие подразделений. Проблему передачи заказа нельзя устранить только изменением дружелюбия оператора, если сведения о готовности поступают с ошибкой.</w:t>
      </w:r>
    </w:p>
    <w:p w14:paraId="46C39470" w14:textId="77777777" w:rsidR="00641D70" w:rsidRPr="00641FF1" w:rsidRDefault="00000000">
      <w:pPr>
        <w:pStyle w:val="1"/>
        <w:pageBreakBefore/>
        <w:rPr>
          <w:lang w:val="ru-RU"/>
        </w:rPr>
      </w:pPr>
      <w:r w:rsidRPr="00641FF1">
        <w:rPr>
          <w:lang w:val="ru-RU"/>
        </w:rPr>
        <w:lastRenderedPageBreak/>
        <w:t>2. Лояльность, повторение и инерция</w:t>
      </w:r>
    </w:p>
    <w:p w14:paraId="58226A92" w14:textId="77777777" w:rsidR="00641D70" w:rsidRPr="00641FF1" w:rsidRDefault="00000000">
      <w:pPr>
        <w:rPr>
          <w:lang w:val="ru-RU"/>
        </w:rPr>
      </w:pPr>
      <w:r w:rsidRPr="00641FF1">
        <w:rPr>
          <w:lang w:val="ru-RU"/>
        </w:rPr>
        <w:t>Для учебных задач разделим поведенческую лояльность — устойчивое предпочтение, проявляющееся в повторном выборе, — и установочную сторону: отношение, доверие и готовность рассматривать компанию при подходящей задаче. Это аналитическое разделение помогает не выдавать один показатель за исчерпывающий портрет отношений.</w:t>
      </w:r>
    </w:p>
    <w:p w14:paraId="3B5F53BB" w14:textId="77777777" w:rsidR="00641D70" w:rsidRPr="00641FF1" w:rsidRDefault="00000000">
      <w:pPr>
        <w:pStyle w:val="21"/>
        <w:rPr>
          <w:lang w:val="ru-RU"/>
        </w:rPr>
      </w:pPr>
      <w:r w:rsidRPr="00641FF1">
        <w:rPr>
          <w:lang w:val="ru-RU"/>
        </w:rPr>
        <w:t>Почему покупатель возвращается</w:t>
      </w:r>
    </w:p>
    <w:p w14:paraId="531C0DF7" w14:textId="77777777" w:rsidR="00641D70" w:rsidRPr="00641FF1" w:rsidRDefault="00000000">
      <w:pPr>
        <w:rPr>
          <w:lang w:val="ru-RU"/>
        </w:rPr>
      </w:pPr>
      <w:r w:rsidRPr="00641FF1">
        <w:rPr>
          <w:lang w:val="ru-RU"/>
        </w:rPr>
        <w:t>Повторение может иметь несколько оснований. Продукт действительно подходит; покупателю удобно расположение; привычный процесс уменьшает усилия; конкурент временно недоступен; смена сервиса слишком сложна. В истории платежей эти ситуации выглядят сходно, но требуют разных решений. Поэтому транзакционные данные нужно дополнять вопросами о причинах выбора и альтернативных вариантах.</w:t>
      </w:r>
    </w:p>
    <w:p w14:paraId="76509F2F" w14:textId="77777777" w:rsidR="00641D70" w:rsidRPr="00641FF1" w:rsidRDefault="00000000">
      <w:pPr>
        <w:rPr>
          <w:lang w:val="ru-RU"/>
        </w:rPr>
      </w:pPr>
      <w:r w:rsidRPr="00641FF1">
        <w:rPr>
          <w:lang w:val="ru-RU"/>
        </w:rPr>
        <w:t>Частота также зависит от категории. Редко приобретаемый долговечный товар не обязан иметь такую же частоту повторения, как повседневная услуга. Если человек не покупает новый стол каждый месяц, это не доказывает утрату лояльности. Период наблюдения должен соответствовать потребности.</w:t>
      </w:r>
    </w:p>
    <w:p w14:paraId="0DF7C1D8" w14:textId="77777777" w:rsidR="00641D70" w:rsidRPr="00641FF1" w:rsidRDefault="00000000">
      <w:pPr>
        <w:pStyle w:val="21"/>
        <w:rPr>
          <w:lang w:val="ru-RU"/>
        </w:rPr>
      </w:pPr>
      <w:r w:rsidRPr="00641FF1">
        <w:rPr>
          <w:lang w:val="ru-RU"/>
        </w:rPr>
        <w:t>Инерция и ограничения переключения</w:t>
      </w:r>
    </w:p>
    <w:p w14:paraId="74D42101" w14:textId="77777777" w:rsidR="00641D70" w:rsidRDefault="00000000">
      <w:r w:rsidRPr="00641FF1">
        <w:rPr>
          <w:lang w:val="ru-RU"/>
        </w:rPr>
        <w:t xml:space="preserve">Инерция означает продолжение привычного поведения без нового развернутого выбора. Она не обязательно вредна: удобная повторная покупка экономит усилия. Но инерцию нельзя использовать как оправдание непрозрачного продления, скрытых платежей или затрудненного отказа. </w:t>
      </w:r>
      <w:proofErr w:type="spellStart"/>
      <w:r>
        <w:t>Продолжение</w:t>
      </w:r>
      <w:proofErr w:type="spellEnd"/>
      <w:r>
        <w:t xml:space="preserve"> </w:t>
      </w:r>
      <w:proofErr w:type="spellStart"/>
      <w:r>
        <w:t>должно</w:t>
      </w:r>
      <w:proofErr w:type="spellEnd"/>
      <w:r>
        <w:t xml:space="preserve"> </w:t>
      </w:r>
      <w:proofErr w:type="spellStart"/>
      <w:r>
        <w:t>оставаться</w:t>
      </w:r>
      <w:proofErr w:type="spellEnd"/>
      <w:r>
        <w:t xml:space="preserve"> </w:t>
      </w:r>
      <w:proofErr w:type="spellStart"/>
      <w:r>
        <w:t>осмысленно</w:t>
      </w:r>
      <w:proofErr w:type="spellEnd"/>
      <w:r>
        <w:t xml:space="preserve"> доступным выбором.</w:t>
      </w:r>
    </w:p>
    <w:tbl>
      <w:tblPr>
        <w:tblW w:w="0" w:type="auto"/>
        <w:jc w:val="center"/>
        <w:tblLayout w:type="fixed"/>
        <w:tblLook w:val="04A0" w:firstRow="1" w:lastRow="0" w:firstColumn="1" w:lastColumn="0" w:noHBand="0" w:noVBand="1"/>
      </w:tblPr>
      <w:tblGrid>
        <w:gridCol w:w="2154"/>
        <w:gridCol w:w="3402"/>
        <w:gridCol w:w="3855"/>
      </w:tblGrid>
      <w:tr w:rsidR="00641D70" w14:paraId="16D585A3" w14:textId="77777777">
        <w:trPr>
          <w:cantSplit/>
          <w:tblHeader/>
          <w:jc w:val="center"/>
        </w:trPr>
        <w:tc>
          <w:tcPr>
            <w:tcW w:w="2154" w:type="dxa"/>
            <w:shd w:val="clear" w:color="auto" w:fill="254656"/>
            <w:tcMar>
              <w:top w:w="85" w:type="dxa"/>
              <w:left w:w="105" w:type="dxa"/>
              <w:bottom w:w="85" w:type="dxa"/>
              <w:right w:w="105" w:type="dxa"/>
            </w:tcMar>
            <w:vAlign w:val="center"/>
          </w:tcPr>
          <w:p w14:paraId="090323A5" w14:textId="77777777" w:rsidR="00641D70" w:rsidRDefault="00000000">
            <w:pPr>
              <w:pStyle w:val="TableText"/>
            </w:pPr>
            <w:r>
              <w:rPr>
                <w:rFonts w:eastAsia="Arial" w:cs="Arial"/>
                <w:b/>
                <w:color w:val="FFFFFF"/>
              </w:rPr>
              <w:t>Наблюдение</w:t>
            </w:r>
          </w:p>
        </w:tc>
        <w:tc>
          <w:tcPr>
            <w:tcW w:w="3402" w:type="dxa"/>
            <w:shd w:val="clear" w:color="auto" w:fill="254656"/>
            <w:tcMar>
              <w:top w:w="85" w:type="dxa"/>
              <w:left w:w="105" w:type="dxa"/>
              <w:bottom w:w="85" w:type="dxa"/>
              <w:right w:w="105" w:type="dxa"/>
            </w:tcMar>
            <w:vAlign w:val="center"/>
          </w:tcPr>
          <w:p w14:paraId="587B2338" w14:textId="77777777" w:rsidR="00641D70" w:rsidRDefault="00000000">
            <w:pPr>
              <w:pStyle w:val="TableText"/>
            </w:pPr>
            <w:r>
              <w:rPr>
                <w:rFonts w:eastAsia="Arial" w:cs="Arial"/>
                <w:b/>
                <w:color w:val="FFFFFF"/>
              </w:rPr>
              <w:t>Возможное объяснение</w:t>
            </w:r>
          </w:p>
        </w:tc>
        <w:tc>
          <w:tcPr>
            <w:tcW w:w="3855" w:type="dxa"/>
            <w:shd w:val="clear" w:color="auto" w:fill="254656"/>
            <w:tcMar>
              <w:top w:w="85" w:type="dxa"/>
              <w:left w:w="105" w:type="dxa"/>
              <w:bottom w:w="85" w:type="dxa"/>
              <w:right w:w="105" w:type="dxa"/>
            </w:tcMar>
            <w:vAlign w:val="center"/>
          </w:tcPr>
          <w:p w14:paraId="0702F09E" w14:textId="77777777" w:rsidR="00641D70" w:rsidRDefault="00000000">
            <w:pPr>
              <w:pStyle w:val="TableText"/>
            </w:pPr>
            <w:r>
              <w:rPr>
                <w:rFonts w:eastAsia="Arial" w:cs="Arial"/>
                <w:b/>
                <w:color w:val="FFFFFF"/>
              </w:rPr>
              <w:t>Дополнительный вопрос</w:t>
            </w:r>
          </w:p>
        </w:tc>
      </w:tr>
      <w:tr w:rsidR="00641D70" w14:paraId="5BBB8439" w14:textId="77777777">
        <w:trPr>
          <w:cantSplit/>
          <w:jc w:val="center"/>
        </w:trPr>
        <w:tc>
          <w:tcPr>
            <w:tcW w:w="2154" w:type="dxa"/>
            <w:shd w:val="clear" w:color="auto" w:fill="F0F5F7"/>
            <w:tcMar>
              <w:top w:w="85" w:type="dxa"/>
              <w:left w:w="105" w:type="dxa"/>
              <w:bottom w:w="85" w:type="dxa"/>
              <w:right w:w="105" w:type="dxa"/>
            </w:tcMar>
            <w:vAlign w:val="center"/>
          </w:tcPr>
          <w:p w14:paraId="18748673" w14:textId="77777777" w:rsidR="00641D70" w:rsidRDefault="00000000">
            <w:pPr>
              <w:pStyle w:val="TableText"/>
            </w:pPr>
            <w:r>
              <w:rPr>
                <w:rFonts w:eastAsia="Arial" w:cs="Arial"/>
                <w:color w:val="243B48"/>
              </w:rPr>
              <w:t>Частые покупки</w:t>
            </w:r>
          </w:p>
        </w:tc>
        <w:tc>
          <w:tcPr>
            <w:tcW w:w="3402" w:type="dxa"/>
            <w:shd w:val="clear" w:color="auto" w:fill="F0F5F7"/>
            <w:tcMar>
              <w:top w:w="85" w:type="dxa"/>
              <w:left w:w="105" w:type="dxa"/>
              <w:bottom w:w="85" w:type="dxa"/>
              <w:right w:w="105" w:type="dxa"/>
            </w:tcMar>
            <w:vAlign w:val="center"/>
          </w:tcPr>
          <w:p w14:paraId="4956A126" w14:textId="77777777" w:rsidR="00641D70" w:rsidRPr="00641FF1" w:rsidRDefault="00000000">
            <w:pPr>
              <w:pStyle w:val="TableText"/>
              <w:rPr>
                <w:lang w:val="ru-RU"/>
              </w:rPr>
            </w:pPr>
            <w:r w:rsidRPr="00641FF1">
              <w:rPr>
                <w:rFonts w:eastAsia="Arial" w:cs="Arial"/>
                <w:color w:val="243B48"/>
                <w:lang w:val="ru-RU"/>
              </w:rPr>
              <w:t>Подходит предложение или нет альтернативы</w:t>
            </w:r>
          </w:p>
        </w:tc>
        <w:tc>
          <w:tcPr>
            <w:tcW w:w="3855" w:type="dxa"/>
            <w:shd w:val="clear" w:color="auto" w:fill="F0F5F7"/>
            <w:tcMar>
              <w:top w:w="85" w:type="dxa"/>
              <w:left w:w="105" w:type="dxa"/>
              <w:bottom w:w="85" w:type="dxa"/>
              <w:right w:w="105" w:type="dxa"/>
            </w:tcMar>
            <w:vAlign w:val="center"/>
          </w:tcPr>
          <w:p w14:paraId="1B711190" w14:textId="77777777" w:rsidR="00641D70" w:rsidRDefault="00000000">
            <w:pPr>
              <w:pStyle w:val="TableText"/>
            </w:pPr>
            <w:proofErr w:type="spellStart"/>
            <w:r>
              <w:rPr>
                <w:rFonts w:eastAsia="Arial" w:cs="Arial"/>
                <w:color w:val="243B48"/>
              </w:rPr>
              <w:t>Почему</w:t>
            </w:r>
            <w:proofErr w:type="spellEnd"/>
            <w:r>
              <w:rPr>
                <w:rFonts w:eastAsia="Arial" w:cs="Arial"/>
                <w:color w:val="243B48"/>
              </w:rPr>
              <w:t xml:space="preserve"> </w:t>
            </w:r>
            <w:proofErr w:type="spellStart"/>
            <w:r>
              <w:rPr>
                <w:rFonts w:eastAsia="Arial" w:cs="Arial"/>
                <w:color w:val="243B48"/>
              </w:rPr>
              <w:t>выбрали</w:t>
            </w:r>
            <w:proofErr w:type="spellEnd"/>
            <w:r>
              <w:rPr>
                <w:rFonts w:eastAsia="Arial" w:cs="Arial"/>
                <w:color w:val="243B48"/>
              </w:rPr>
              <w:t xml:space="preserve"> </w:t>
            </w:r>
            <w:proofErr w:type="spellStart"/>
            <w:r>
              <w:rPr>
                <w:rFonts w:eastAsia="Arial" w:cs="Arial"/>
                <w:color w:val="243B48"/>
              </w:rPr>
              <w:t>снова</w:t>
            </w:r>
            <w:proofErr w:type="spellEnd"/>
            <w:r>
              <w:rPr>
                <w:rFonts w:eastAsia="Arial" w:cs="Arial"/>
                <w:color w:val="243B48"/>
              </w:rPr>
              <w:t>?</w:t>
            </w:r>
          </w:p>
        </w:tc>
      </w:tr>
      <w:tr w:rsidR="00641D70" w14:paraId="34093BA0" w14:textId="77777777">
        <w:trPr>
          <w:cantSplit/>
          <w:jc w:val="center"/>
        </w:trPr>
        <w:tc>
          <w:tcPr>
            <w:tcW w:w="2154" w:type="dxa"/>
            <w:shd w:val="clear" w:color="auto" w:fill="FFFFFF"/>
            <w:tcMar>
              <w:top w:w="85" w:type="dxa"/>
              <w:left w:w="105" w:type="dxa"/>
              <w:bottom w:w="85" w:type="dxa"/>
              <w:right w:w="105" w:type="dxa"/>
            </w:tcMar>
            <w:vAlign w:val="center"/>
          </w:tcPr>
          <w:p w14:paraId="43CC606A" w14:textId="77777777" w:rsidR="00641D70" w:rsidRDefault="00000000">
            <w:pPr>
              <w:pStyle w:val="TableText"/>
            </w:pPr>
            <w:r>
              <w:rPr>
                <w:rFonts w:eastAsia="Arial" w:cs="Arial"/>
                <w:color w:val="243B48"/>
              </w:rPr>
              <w:t>Нет повторения</w:t>
            </w:r>
          </w:p>
        </w:tc>
        <w:tc>
          <w:tcPr>
            <w:tcW w:w="3402" w:type="dxa"/>
            <w:shd w:val="clear" w:color="auto" w:fill="FFFFFF"/>
            <w:tcMar>
              <w:top w:w="85" w:type="dxa"/>
              <w:left w:w="105" w:type="dxa"/>
              <w:bottom w:w="85" w:type="dxa"/>
              <w:right w:w="105" w:type="dxa"/>
            </w:tcMar>
            <w:vAlign w:val="center"/>
          </w:tcPr>
          <w:p w14:paraId="129B96F5" w14:textId="77777777" w:rsidR="00641D70" w:rsidRPr="00641FF1" w:rsidRDefault="00000000">
            <w:pPr>
              <w:pStyle w:val="TableText"/>
              <w:rPr>
                <w:lang w:val="ru-RU"/>
              </w:rPr>
            </w:pPr>
            <w:r w:rsidRPr="00641FF1">
              <w:rPr>
                <w:rFonts w:eastAsia="Arial" w:cs="Arial"/>
                <w:color w:val="243B48"/>
                <w:lang w:val="ru-RU"/>
              </w:rPr>
              <w:t>Неудачный опыт или еще нет потребности</w:t>
            </w:r>
          </w:p>
        </w:tc>
        <w:tc>
          <w:tcPr>
            <w:tcW w:w="3855" w:type="dxa"/>
            <w:shd w:val="clear" w:color="auto" w:fill="FFFFFF"/>
            <w:tcMar>
              <w:top w:w="85" w:type="dxa"/>
              <w:left w:w="105" w:type="dxa"/>
              <w:bottom w:w="85" w:type="dxa"/>
              <w:right w:w="105" w:type="dxa"/>
            </w:tcMar>
            <w:vAlign w:val="center"/>
          </w:tcPr>
          <w:p w14:paraId="75FADD50" w14:textId="77777777" w:rsidR="00641D70" w:rsidRDefault="00000000">
            <w:pPr>
              <w:pStyle w:val="TableText"/>
            </w:pPr>
            <w:proofErr w:type="spellStart"/>
            <w:r>
              <w:rPr>
                <w:rFonts w:eastAsia="Arial" w:cs="Arial"/>
                <w:color w:val="243B48"/>
              </w:rPr>
              <w:t>Возникала</w:t>
            </w:r>
            <w:proofErr w:type="spellEnd"/>
            <w:r>
              <w:rPr>
                <w:rFonts w:eastAsia="Arial" w:cs="Arial"/>
                <w:color w:val="243B48"/>
              </w:rPr>
              <w:t xml:space="preserve"> </w:t>
            </w:r>
            <w:proofErr w:type="spellStart"/>
            <w:r>
              <w:rPr>
                <w:rFonts w:eastAsia="Arial" w:cs="Arial"/>
                <w:color w:val="243B48"/>
              </w:rPr>
              <w:t>ли</w:t>
            </w:r>
            <w:proofErr w:type="spellEnd"/>
            <w:r>
              <w:rPr>
                <w:rFonts w:eastAsia="Arial" w:cs="Arial"/>
                <w:color w:val="243B48"/>
              </w:rPr>
              <w:t xml:space="preserve"> </w:t>
            </w:r>
            <w:proofErr w:type="spellStart"/>
            <w:r>
              <w:rPr>
                <w:rFonts w:eastAsia="Arial" w:cs="Arial"/>
                <w:color w:val="243B48"/>
              </w:rPr>
              <w:t>новая</w:t>
            </w:r>
            <w:proofErr w:type="spellEnd"/>
            <w:r>
              <w:rPr>
                <w:rFonts w:eastAsia="Arial" w:cs="Arial"/>
                <w:color w:val="243B48"/>
              </w:rPr>
              <w:t xml:space="preserve"> </w:t>
            </w:r>
            <w:proofErr w:type="spellStart"/>
            <w:r>
              <w:rPr>
                <w:rFonts w:eastAsia="Arial" w:cs="Arial"/>
                <w:color w:val="243B48"/>
              </w:rPr>
              <w:t>задача</w:t>
            </w:r>
            <w:proofErr w:type="spellEnd"/>
            <w:r>
              <w:rPr>
                <w:rFonts w:eastAsia="Arial" w:cs="Arial"/>
                <w:color w:val="243B48"/>
              </w:rPr>
              <w:t>?</w:t>
            </w:r>
          </w:p>
        </w:tc>
      </w:tr>
      <w:tr w:rsidR="00641D70" w:rsidRPr="00641FF1" w14:paraId="77C0E204" w14:textId="77777777">
        <w:trPr>
          <w:cantSplit/>
          <w:jc w:val="center"/>
        </w:trPr>
        <w:tc>
          <w:tcPr>
            <w:tcW w:w="2154" w:type="dxa"/>
            <w:shd w:val="clear" w:color="auto" w:fill="F0F5F7"/>
            <w:tcMar>
              <w:top w:w="85" w:type="dxa"/>
              <w:left w:w="105" w:type="dxa"/>
              <w:bottom w:w="85" w:type="dxa"/>
              <w:right w:w="105" w:type="dxa"/>
            </w:tcMar>
            <w:vAlign w:val="center"/>
          </w:tcPr>
          <w:p w14:paraId="614142D0" w14:textId="77777777" w:rsidR="00641D70" w:rsidRDefault="00000000">
            <w:pPr>
              <w:pStyle w:val="TableText"/>
            </w:pPr>
            <w:r>
              <w:rPr>
                <w:rFonts w:eastAsia="Arial" w:cs="Arial"/>
                <w:color w:val="243B48"/>
              </w:rPr>
              <w:t>Высокая оценка</w:t>
            </w:r>
          </w:p>
        </w:tc>
        <w:tc>
          <w:tcPr>
            <w:tcW w:w="3402" w:type="dxa"/>
            <w:shd w:val="clear" w:color="auto" w:fill="F0F5F7"/>
            <w:tcMar>
              <w:top w:w="85" w:type="dxa"/>
              <w:left w:w="105" w:type="dxa"/>
              <w:bottom w:w="85" w:type="dxa"/>
              <w:right w:w="105" w:type="dxa"/>
            </w:tcMar>
            <w:vAlign w:val="center"/>
          </w:tcPr>
          <w:p w14:paraId="1FAD0FAA" w14:textId="77777777" w:rsidR="00641D70" w:rsidRPr="00641FF1" w:rsidRDefault="00000000">
            <w:pPr>
              <w:pStyle w:val="TableText"/>
              <w:rPr>
                <w:lang w:val="ru-RU"/>
              </w:rPr>
            </w:pPr>
            <w:r w:rsidRPr="00641FF1">
              <w:rPr>
                <w:rFonts w:eastAsia="Arial" w:cs="Arial"/>
                <w:color w:val="243B48"/>
                <w:lang w:val="ru-RU"/>
              </w:rPr>
              <w:t>Доволен эпизодом, но не всей категорией</w:t>
            </w:r>
          </w:p>
        </w:tc>
        <w:tc>
          <w:tcPr>
            <w:tcW w:w="3855" w:type="dxa"/>
            <w:shd w:val="clear" w:color="auto" w:fill="F0F5F7"/>
            <w:tcMar>
              <w:top w:w="85" w:type="dxa"/>
              <w:left w:w="105" w:type="dxa"/>
              <w:bottom w:w="85" w:type="dxa"/>
              <w:right w:w="105" w:type="dxa"/>
            </w:tcMar>
            <w:vAlign w:val="center"/>
          </w:tcPr>
          <w:p w14:paraId="4D3EA807" w14:textId="77777777" w:rsidR="00641D70" w:rsidRPr="00641FF1" w:rsidRDefault="00000000">
            <w:pPr>
              <w:pStyle w:val="TableText"/>
              <w:rPr>
                <w:lang w:val="ru-RU"/>
              </w:rPr>
            </w:pPr>
            <w:r w:rsidRPr="00641FF1">
              <w:rPr>
                <w:rFonts w:eastAsia="Arial" w:cs="Arial"/>
                <w:color w:val="243B48"/>
                <w:lang w:val="ru-RU"/>
              </w:rPr>
              <w:t>К какому опыту относится ответ?</w:t>
            </w:r>
          </w:p>
        </w:tc>
      </w:tr>
      <w:tr w:rsidR="00641D70" w:rsidRPr="00641FF1" w14:paraId="5A9BF4B6" w14:textId="77777777">
        <w:trPr>
          <w:cantSplit/>
          <w:jc w:val="center"/>
        </w:trPr>
        <w:tc>
          <w:tcPr>
            <w:tcW w:w="2154" w:type="dxa"/>
            <w:shd w:val="clear" w:color="auto" w:fill="FFFFFF"/>
            <w:tcMar>
              <w:top w:w="85" w:type="dxa"/>
              <w:left w:w="105" w:type="dxa"/>
              <w:bottom w:w="85" w:type="dxa"/>
              <w:right w:w="105" w:type="dxa"/>
            </w:tcMar>
            <w:vAlign w:val="center"/>
          </w:tcPr>
          <w:p w14:paraId="3DABAC9D" w14:textId="77777777" w:rsidR="00641D70" w:rsidRDefault="00000000">
            <w:pPr>
              <w:pStyle w:val="TableText"/>
            </w:pPr>
            <w:proofErr w:type="spellStart"/>
            <w:r>
              <w:rPr>
                <w:rFonts w:eastAsia="Arial" w:cs="Arial"/>
                <w:color w:val="243B48"/>
              </w:rPr>
              <w:t>Долгая</w:t>
            </w:r>
            <w:proofErr w:type="spellEnd"/>
            <w:r>
              <w:rPr>
                <w:rFonts w:eastAsia="Arial" w:cs="Arial"/>
                <w:color w:val="243B48"/>
              </w:rPr>
              <w:t xml:space="preserve"> </w:t>
            </w:r>
            <w:proofErr w:type="spellStart"/>
            <w:r>
              <w:rPr>
                <w:rFonts w:eastAsia="Arial" w:cs="Arial"/>
                <w:color w:val="243B48"/>
              </w:rPr>
              <w:t>подписка</w:t>
            </w:r>
            <w:proofErr w:type="spellEnd"/>
          </w:p>
        </w:tc>
        <w:tc>
          <w:tcPr>
            <w:tcW w:w="3402" w:type="dxa"/>
            <w:shd w:val="clear" w:color="auto" w:fill="FFFFFF"/>
            <w:tcMar>
              <w:top w:w="85" w:type="dxa"/>
              <w:left w:w="105" w:type="dxa"/>
              <w:bottom w:w="85" w:type="dxa"/>
              <w:right w:w="105" w:type="dxa"/>
            </w:tcMar>
            <w:vAlign w:val="center"/>
          </w:tcPr>
          <w:p w14:paraId="7E09D1EE" w14:textId="77777777" w:rsidR="00641D70" w:rsidRPr="00641FF1" w:rsidRDefault="00000000">
            <w:pPr>
              <w:pStyle w:val="TableText"/>
              <w:rPr>
                <w:lang w:val="ru-RU"/>
              </w:rPr>
            </w:pPr>
            <w:r w:rsidRPr="00641FF1">
              <w:rPr>
                <w:rFonts w:eastAsia="Arial" w:cs="Arial"/>
                <w:color w:val="243B48"/>
                <w:lang w:val="ru-RU"/>
              </w:rPr>
              <w:t>Пользуется или не заметил продление</w:t>
            </w:r>
          </w:p>
        </w:tc>
        <w:tc>
          <w:tcPr>
            <w:tcW w:w="3855" w:type="dxa"/>
            <w:shd w:val="clear" w:color="auto" w:fill="FFFFFF"/>
            <w:tcMar>
              <w:top w:w="85" w:type="dxa"/>
              <w:left w:w="105" w:type="dxa"/>
              <w:bottom w:w="85" w:type="dxa"/>
              <w:right w:w="105" w:type="dxa"/>
            </w:tcMar>
            <w:vAlign w:val="center"/>
          </w:tcPr>
          <w:p w14:paraId="59C7A1ED" w14:textId="77777777" w:rsidR="00641D70" w:rsidRPr="00641FF1" w:rsidRDefault="00000000">
            <w:pPr>
              <w:pStyle w:val="TableText"/>
              <w:rPr>
                <w:lang w:val="ru-RU"/>
              </w:rPr>
            </w:pPr>
            <w:r w:rsidRPr="00641FF1">
              <w:rPr>
                <w:rFonts w:eastAsia="Arial" w:cs="Arial"/>
                <w:color w:val="243B48"/>
                <w:lang w:val="ru-RU"/>
              </w:rPr>
              <w:t>Понимает ли условия и получает ли пользу?</w:t>
            </w:r>
          </w:p>
        </w:tc>
      </w:tr>
    </w:tbl>
    <w:p w14:paraId="2C07CE5F" w14:textId="77777777" w:rsidR="00641D70" w:rsidRPr="00641FF1" w:rsidRDefault="00641D70">
      <w:pPr>
        <w:spacing w:after="0"/>
        <w:rPr>
          <w:lang w:val="ru-RU"/>
        </w:rPr>
      </w:pPr>
    </w:p>
    <w:p w14:paraId="4284EDB3" w14:textId="77777777" w:rsidR="00641D70" w:rsidRPr="00641FF1" w:rsidRDefault="00000000">
      <w:pPr>
        <w:pStyle w:val="21"/>
        <w:rPr>
          <w:lang w:val="ru-RU"/>
        </w:rPr>
      </w:pPr>
      <w:r w:rsidRPr="00641FF1">
        <w:rPr>
          <w:lang w:val="ru-RU"/>
        </w:rPr>
        <w:t>Управленческие последствия</w:t>
      </w:r>
    </w:p>
    <w:p w14:paraId="009FC80B" w14:textId="77777777" w:rsidR="00641D70" w:rsidRPr="00641FF1" w:rsidRDefault="00000000">
      <w:pPr>
        <w:rPr>
          <w:lang w:val="ru-RU"/>
        </w:rPr>
      </w:pPr>
      <w:r w:rsidRPr="00641FF1">
        <w:rPr>
          <w:lang w:val="ru-RU"/>
        </w:rPr>
        <w:t>Программа отношений должна помогать использовать продукт и решать повторяющиеся задачи. Удобное обслуживание, понятная история покупок и своевременная поддержка могут быть важнее постоянного начисления бонусов. Решение выбирают по выявленному основанию, а не по общей установке «нужна программа лояльности».</w:t>
      </w:r>
    </w:p>
    <w:p w14:paraId="0CCA0393" w14:textId="77777777" w:rsidR="00641D70" w:rsidRPr="00641FF1" w:rsidRDefault="00000000">
      <w:pPr>
        <w:rPr>
          <w:lang w:val="ru-RU"/>
        </w:rPr>
      </w:pPr>
      <w:r w:rsidRPr="00641FF1">
        <w:rPr>
          <w:lang w:val="ru-RU"/>
        </w:rPr>
        <w:t>Отношение способно меняться. Не следует навсегда присваивать человеку ярлык «лояльный» на основании нескольких заказов. Полезнее хранить проверяемые признаки с периодом актуальности и пересматривать гипотезу при изменении поведения.</w:t>
      </w:r>
    </w:p>
    <w:p w14:paraId="3CF7CD02" w14:textId="77777777" w:rsidR="00641D70" w:rsidRPr="00641FF1" w:rsidRDefault="00000000">
      <w:pPr>
        <w:pStyle w:val="1"/>
        <w:pageBreakBefore/>
        <w:rPr>
          <w:lang w:val="ru-RU"/>
        </w:rPr>
      </w:pPr>
      <w:r w:rsidRPr="00641FF1">
        <w:rPr>
          <w:lang w:val="ru-RU"/>
        </w:rPr>
        <w:lastRenderedPageBreak/>
        <w:t>3. Измерение удовлетворенности и отношений</w:t>
      </w:r>
    </w:p>
    <w:p w14:paraId="0980AA52" w14:textId="77777777" w:rsidR="00641D70" w:rsidRPr="00641FF1" w:rsidRDefault="00000000">
      <w:pPr>
        <w:rPr>
          <w:lang w:val="ru-RU"/>
        </w:rPr>
      </w:pPr>
      <w:r w:rsidRPr="00641FF1">
        <w:rPr>
          <w:lang w:val="ru-RU"/>
        </w:rPr>
        <w:t>Хороший показатель имеет предмет, период, единицу анализа и правило расчета. Например, «доля ответивших, удовлетворенных последней доставкой» точнее, чем «уровень счастья клиентов». Само название индекса не гарантирует, что он измеряет нужное явление.</w:t>
      </w:r>
    </w:p>
    <w:p w14:paraId="2812CCD4" w14:textId="77777777" w:rsidR="00641D70" w:rsidRPr="00641FF1" w:rsidRDefault="00000000">
      <w:pPr>
        <w:pStyle w:val="21"/>
        <w:rPr>
          <w:lang w:val="ru-RU"/>
        </w:rPr>
      </w:pPr>
      <w:r w:rsidRPr="00641FF1">
        <w:rPr>
          <w:lang w:val="ru-RU"/>
        </w:rPr>
        <w:t>Опрос после взаимодействия</w:t>
      </w:r>
    </w:p>
    <w:p w14:paraId="7448ADF7" w14:textId="77777777" w:rsidR="00641D70" w:rsidRPr="00641FF1" w:rsidRDefault="00000000">
      <w:pPr>
        <w:rPr>
          <w:lang w:val="ru-RU"/>
        </w:rPr>
      </w:pPr>
      <w:r w:rsidRPr="00641FF1">
        <w:rPr>
          <w:lang w:val="ru-RU"/>
        </w:rPr>
        <w:t>Можно спросить: «Насколько вы удовлетворены получением последнего заказа?» — и предложить пять упорядоченных категорий от «совсем не удовлетворен» до «полностью удовлетворен». Ответ «не могу оценить» учитывают отдельно. Короткий открытый вопрос о причине помогает понять, что именно стоит за оценкой.</w:t>
      </w:r>
    </w:p>
    <w:p w14:paraId="2346CB7A" w14:textId="77777777" w:rsidR="00641D70" w:rsidRPr="00641FF1" w:rsidRDefault="00000000">
      <w:pPr>
        <w:rPr>
          <w:lang w:val="ru-RU"/>
        </w:rPr>
      </w:pPr>
      <w:r w:rsidRPr="00641FF1">
        <w:rPr>
          <w:lang w:val="ru-RU"/>
        </w:rPr>
        <w:t xml:space="preserve">Если положительными заранее признаны две верхние категории, учебный показатель </w:t>
      </w:r>
      <w:r>
        <w:t>CSAT</w:t>
      </w:r>
      <w:r w:rsidRPr="00641FF1">
        <w:rPr>
          <w:lang w:val="ru-RU"/>
        </w:rPr>
        <w:t xml:space="preserve"> рассчитывается как число таких ответов, деленное на число содержательных ответов, умноженное на 100%. В отчете необходимо назвать правило: разные определения положительного ответа дают разные значения. Нельзя менять границу после просмотра результатов.</w:t>
      </w:r>
    </w:p>
    <w:p w14:paraId="6DF8CCC7" w14:textId="77777777" w:rsidR="00641D70" w:rsidRPr="00641FF1" w:rsidRDefault="00000000">
      <w:pPr>
        <w:pStyle w:val="21"/>
        <w:rPr>
          <w:lang w:val="ru-RU"/>
        </w:rPr>
      </w:pPr>
      <w:r w:rsidRPr="00641FF1">
        <w:rPr>
          <w:lang w:val="ru-RU"/>
        </w:rPr>
        <w:t>Кто ответил</w:t>
      </w:r>
    </w:p>
    <w:p w14:paraId="7CD4D6BD" w14:textId="77777777" w:rsidR="00641D70" w:rsidRPr="00641FF1" w:rsidRDefault="00000000">
      <w:pPr>
        <w:rPr>
          <w:lang w:val="ru-RU"/>
        </w:rPr>
      </w:pPr>
      <w:r w:rsidRPr="00641FF1">
        <w:rPr>
          <w:lang w:val="ru-RU"/>
        </w:rPr>
        <w:t xml:space="preserve">Рекомендации </w:t>
      </w:r>
      <w:r>
        <w:t>AAPOR</w:t>
      </w:r>
      <w:r w:rsidRPr="00641FF1">
        <w:rPr>
          <w:lang w:val="ru-RU"/>
        </w:rPr>
        <w:t xml:space="preserve"> требуют внимания к отбору, формулировкам и прозрачности процедуры [3]. Если приглашены сто клиентов, ответили сорок и тридцать два выбрали положительные категории, результат равен 80% среди ответивших. Он не означает автоматически, что довольны 80 из ста приглашенных. Нужны сведения о </w:t>
      </w:r>
      <w:proofErr w:type="spellStart"/>
      <w:r w:rsidRPr="00641FF1">
        <w:rPr>
          <w:lang w:val="ru-RU"/>
        </w:rPr>
        <w:t>неответах</w:t>
      </w:r>
      <w:proofErr w:type="spellEnd"/>
      <w:r w:rsidRPr="00641FF1">
        <w:rPr>
          <w:lang w:val="ru-RU"/>
        </w:rPr>
        <w:t xml:space="preserve"> и возможных различиях участников.</w:t>
      </w:r>
    </w:p>
    <w:p w14:paraId="0C3F18F5" w14:textId="77777777" w:rsidR="00641D70" w:rsidRPr="00641FF1" w:rsidRDefault="00000000">
      <w:pPr>
        <w:pStyle w:val="21"/>
        <w:rPr>
          <w:lang w:val="ru-RU"/>
        </w:rPr>
      </w:pPr>
      <w:r w:rsidRPr="00641FF1">
        <w:rPr>
          <w:lang w:val="ru-RU"/>
        </w:rPr>
        <w:t>Система показателей</w:t>
      </w:r>
    </w:p>
    <w:p w14:paraId="6BAD3210" w14:textId="77777777" w:rsidR="00641D70" w:rsidRPr="00641FF1" w:rsidRDefault="00000000">
      <w:pPr>
        <w:rPr>
          <w:lang w:val="ru-RU"/>
        </w:rPr>
      </w:pPr>
      <w:r w:rsidRPr="00641FF1">
        <w:rPr>
          <w:lang w:val="ru-RU"/>
        </w:rPr>
        <w:t>Удовлетворенность дополняют успешностью выполнения задачи, повторными обращениями по нерешенному вопросу, возвратами и доступностью поддержки. Снижение числа жалоб может означать исправление процесса, но также — исчезновение удобного канала связи. Поэтому метрики должны позволять проверить альтернативные объяснения.</w:t>
      </w:r>
    </w:p>
    <w:p w14:paraId="6E667F74" w14:textId="77777777" w:rsidR="00641D70" w:rsidRPr="00641FF1" w:rsidRDefault="00000000">
      <w:pPr>
        <w:rPr>
          <w:lang w:val="ru-RU"/>
        </w:rPr>
      </w:pPr>
      <w:r w:rsidRPr="00641FF1">
        <w:rPr>
          <w:lang w:val="ru-RU"/>
        </w:rPr>
        <w:t>Следует различать время первого ответа и время решения. Быстрое сообщение «ваш вопрос принят» не доказывает восстановление услуги. Для анализа задают момент начала и завершения, исключения, рабочие часы и долю вопросов, действительно решенных по согласованному критерию.</w:t>
      </w:r>
    </w:p>
    <w:p w14:paraId="6D3477DA" w14:textId="77777777" w:rsidR="00641D70" w:rsidRPr="00641FF1" w:rsidRDefault="00000000">
      <w:pPr>
        <w:pStyle w:val="Callout"/>
        <w:shd w:val="clear" w:color="auto" w:fill="EDF5F5"/>
        <w:rPr>
          <w:lang w:val="ru-RU"/>
        </w:rPr>
      </w:pPr>
      <w:r w:rsidRPr="00641FF1">
        <w:rPr>
          <w:lang w:val="ru-RU"/>
        </w:rPr>
        <w:t>Метрика нужна для решения. Если показатель улучшается, а человек по-прежнему не может получить обещанный результат или отказаться от ненужной услуги, следует пересмотреть систему оценки.</w:t>
      </w:r>
    </w:p>
    <w:p w14:paraId="10E6E9FF" w14:textId="77777777" w:rsidR="00641D70" w:rsidRPr="00641FF1" w:rsidRDefault="00000000">
      <w:pPr>
        <w:rPr>
          <w:lang w:val="ru-RU"/>
        </w:rPr>
      </w:pPr>
      <w:r w:rsidRPr="00641FF1">
        <w:rPr>
          <w:lang w:val="ru-RU"/>
        </w:rPr>
        <w:t>Периодические замеры проводят по сопоставимой процедуре. Изменение шкалы, канала приглашения или типа заказов отмечается. Иначе разницу между волнами легко ошибочно приписать новой программе обслуживания.</w:t>
      </w:r>
    </w:p>
    <w:p w14:paraId="05ABA299" w14:textId="77777777" w:rsidR="00641D70" w:rsidRPr="00641FF1" w:rsidRDefault="00000000">
      <w:pPr>
        <w:pStyle w:val="1"/>
        <w:pageBreakBefore/>
        <w:rPr>
          <w:lang w:val="ru-RU"/>
        </w:rPr>
      </w:pPr>
      <w:r w:rsidRPr="00641FF1">
        <w:rPr>
          <w:lang w:val="ru-RU"/>
        </w:rPr>
        <w:lastRenderedPageBreak/>
        <w:t>4. Когорты, удержание, отток и ценность клиента</w:t>
      </w:r>
    </w:p>
    <w:p w14:paraId="24897B96" w14:textId="77777777" w:rsidR="00641D70" w:rsidRPr="00641FF1" w:rsidRDefault="00000000">
      <w:pPr>
        <w:rPr>
          <w:lang w:val="ru-RU"/>
        </w:rPr>
      </w:pPr>
      <w:r w:rsidRPr="00641FF1">
        <w:rPr>
          <w:lang w:val="ru-RU"/>
        </w:rPr>
        <w:t>Когорта — группа, объединенная общим событием и периодом его наступления. Например, все впервые оформившие подписку в одном месяце. Когортный анализ позволяет сравнивать людей на одинаковой стадии отношений, а не смешивать новичков с многолетними пользователями.</w:t>
      </w:r>
    </w:p>
    <w:p w14:paraId="4956DF37" w14:textId="77777777" w:rsidR="00641D70" w:rsidRPr="00641FF1" w:rsidRDefault="00000000">
      <w:pPr>
        <w:pStyle w:val="21"/>
        <w:rPr>
          <w:lang w:val="ru-RU"/>
        </w:rPr>
      </w:pPr>
      <w:r w:rsidRPr="00641FF1">
        <w:rPr>
          <w:lang w:val="ru-RU"/>
        </w:rPr>
        <w:t>Удержание и отток</w:t>
      </w:r>
    </w:p>
    <w:p w14:paraId="24BE23E3" w14:textId="77777777" w:rsidR="00641D70" w:rsidRPr="00641FF1" w:rsidRDefault="00000000">
      <w:pPr>
        <w:rPr>
          <w:lang w:val="ru-RU"/>
        </w:rPr>
      </w:pPr>
      <w:r w:rsidRPr="00641FF1">
        <w:rPr>
          <w:lang w:val="ru-RU"/>
        </w:rPr>
        <w:t>Для фиксированной исходной когорты удержание на выбранную дату рассчитывают как долю участников, которые соответствуют заранее установленному критерию активности. У подписки это может быть действующий договор, у магазина — покупка в определенном окне. Эти определения дают разные показатели и должны быть явно названы.</w:t>
      </w:r>
    </w:p>
    <w:p w14:paraId="2D738C50" w14:textId="77777777" w:rsidR="00641D70" w:rsidRPr="00641FF1" w:rsidRDefault="00000000">
      <w:pPr>
        <w:rPr>
          <w:lang w:val="ru-RU"/>
        </w:rPr>
      </w:pPr>
      <w:r w:rsidRPr="00641FF1">
        <w:rPr>
          <w:lang w:val="ru-RU"/>
        </w:rPr>
        <w:t>Если из ста исходных подписчиков через месяц активны восемьдесят, удержание равно 80%. При исчерпывающем разделении на активных и выбывших отток этой когорты за период равен 20%. Новые клиенты не включаются в числитель: их приход не отменяет потери исходной группы. Паузы и возвращения требуют отдельного правила.</w:t>
      </w:r>
    </w:p>
    <w:p w14:paraId="44DAB287" w14:textId="77777777" w:rsidR="00641D70" w:rsidRPr="00641FF1" w:rsidRDefault="00000000">
      <w:pPr>
        <w:pStyle w:val="21"/>
        <w:rPr>
          <w:lang w:val="ru-RU"/>
        </w:rPr>
      </w:pPr>
      <w:r w:rsidRPr="00641FF1">
        <w:rPr>
          <w:lang w:val="ru-RU"/>
        </w:rPr>
        <w:t>Сопоставимость когорт</w:t>
      </w:r>
    </w:p>
    <w:p w14:paraId="14FFBA3D" w14:textId="77777777" w:rsidR="00641D70" w:rsidRPr="00641FF1" w:rsidRDefault="00000000">
      <w:pPr>
        <w:rPr>
          <w:lang w:val="ru-RU"/>
        </w:rPr>
      </w:pPr>
      <w:r w:rsidRPr="00641FF1">
        <w:rPr>
          <w:lang w:val="ru-RU"/>
        </w:rPr>
        <w:t>Нельзя сравнивать трехмесячное удержание одной группы с месячным удержанием другой. Также нужно учитывать предложение, сезон, канал привлечения и доступность услуги. Если новые участники получили пробный тариф, их поведение может отличаться не из-за качества поддержки, а из-за условий входа.</w:t>
      </w:r>
    </w:p>
    <w:p w14:paraId="31987DCB" w14:textId="77777777" w:rsidR="00641D70" w:rsidRPr="00641FF1" w:rsidRDefault="00000000">
      <w:pPr>
        <w:pStyle w:val="21"/>
        <w:rPr>
          <w:lang w:val="ru-RU"/>
        </w:rPr>
      </w:pPr>
      <w:r w:rsidRPr="00641FF1">
        <w:rPr>
          <w:lang w:val="ru-RU"/>
        </w:rPr>
        <w:t>Упрощенная ожидаемая ценность</w:t>
      </w:r>
    </w:p>
    <w:p w14:paraId="421EA119" w14:textId="77777777" w:rsidR="00641D70" w:rsidRPr="00641FF1" w:rsidRDefault="00000000">
      <w:pPr>
        <w:rPr>
          <w:lang w:val="ru-RU"/>
        </w:rPr>
      </w:pPr>
      <w:r w:rsidRPr="00641FF1">
        <w:rPr>
          <w:lang w:val="ru-RU"/>
        </w:rPr>
        <w:t xml:space="preserve">Пожизненная ценность клиента, или </w:t>
      </w:r>
      <w:r>
        <w:t>CLV</w:t>
      </w:r>
      <w:r w:rsidRPr="00641FF1">
        <w:rPr>
          <w:lang w:val="ru-RU"/>
        </w:rPr>
        <w:t>, относится к ожидаемому экономическому результату отношений, а не к сумме всех исторических оплат. В простом учебном варианте на конечном горизонте:</w:t>
      </w:r>
    </w:p>
    <w:p w14:paraId="2C171972" w14:textId="77777777" w:rsidR="00641D70" w:rsidRPr="00641FF1" w:rsidRDefault="00000000">
      <w:pPr>
        <w:rPr>
          <w:lang w:val="ru-RU"/>
        </w:rPr>
      </w:pPr>
      <w:r>
        <w:rPr>
          <w:b/>
        </w:rPr>
        <w:t>CLV</w:t>
      </w:r>
      <w:r w:rsidRPr="00641FF1">
        <w:rPr>
          <w:b/>
          <w:lang w:val="ru-RU"/>
        </w:rPr>
        <w:t xml:space="preserve"> = </w:t>
      </w:r>
      <w:r>
        <w:rPr>
          <w:b/>
        </w:rPr>
        <w:t>Σ</w:t>
      </w:r>
      <w:r w:rsidRPr="00641FF1">
        <w:rPr>
          <w:b/>
          <w:lang w:val="ru-RU"/>
        </w:rPr>
        <w:t xml:space="preserve"> [</w:t>
      </w:r>
      <w:r>
        <w:rPr>
          <w:b/>
        </w:rPr>
        <w:t>p</w:t>
      </w:r>
      <w:r w:rsidRPr="00641FF1">
        <w:rPr>
          <w:b/>
          <w:lang w:val="ru-RU"/>
        </w:rPr>
        <w:t xml:space="preserve">ₜ × </w:t>
      </w:r>
      <w:r>
        <w:rPr>
          <w:b/>
        </w:rPr>
        <w:t>m</w:t>
      </w:r>
      <w:r w:rsidRPr="00641FF1">
        <w:rPr>
          <w:b/>
          <w:lang w:val="ru-RU"/>
        </w:rPr>
        <w:t xml:space="preserve">ₜ / (1 + </w:t>
      </w:r>
      <w:proofErr w:type="gramStart"/>
      <w:r>
        <w:rPr>
          <w:b/>
        </w:rPr>
        <w:t>d</w:t>
      </w:r>
      <w:r w:rsidRPr="00641FF1">
        <w:rPr>
          <w:b/>
          <w:lang w:val="ru-RU"/>
        </w:rPr>
        <w:t>)</w:t>
      </w:r>
      <w:r>
        <w:rPr>
          <w:b/>
        </w:rPr>
        <w:t>ᵗ</w:t>
      </w:r>
      <w:proofErr w:type="gramEnd"/>
      <w:r w:rsidRPr="00641FF1">
        <w:rPr>
          <w:b/>
          <w:lang w:val="ru-RU"/>
        </w:rPr>
        <w:t xml:space="preserve">] − </w:t>
      </w:r>
      <w:r>
        <w:rPr>
          <w:b/>
        </w:rPr>
        <w:t>CAC</w:t>
      </w:r>
      <w:r w:rsidRPr="00641FF1">
        <w:rPr>
          <w:lang w:val="ru-RU"/>
        </w:rPr>
        <w:t xml:space="preserve">, где </w:t>
      </w:r>
      <w:r>
        <w:t>p</w:t>
      </w:r>
      <w:r w:rsidRPr="00641FF1">
        <w:rPr>
          <w:lang w:val="ru-RU"/>
        </w:rPr>
        <w:t xml:space="preserve">ₜ — вероятность активности в период </w:t>
      </w:r>
      <w:r>
        <w:t>t</w:t>
      </w:r>
      <w:r w:rsidRPr="00641FF1">
        <w:rPr>
          <w:lang w:val="ru-RU"/>
        </w:rPr>
        <w:t xml:space="preserve">, </w:t>
      </w:r>
      <w:r>
        <w:t>m</w:t>
      </w:r>
      <w:r w:rsidRPr="00641FF1">
        <w:rPr>
          <w:lang w:val="ru-RU"/>
        </w:rPr>
        <w:t xml:space="preserve">ₜ — вклад активного клиента после соответствующих переменных затрат, </w:t>
      </w:r>
      <w:r>
        <w:t>d</w:t>
      </w:r>
      <w:r w:rsidRPr="00641FF1">
        <w:rPr>
          <w:lang w:val="ru-RU"/>
        </w:rPr>
        <w:t xml:space="preserve"> — ставка дисконтирования за период, </w:t>
      </w:r>
      <w:r>
        <w:t>CAC</w:t>
      </w:r>
      <w:r w:rsidRPr="00641FF1">
        <w:rPr>
          <w:lang w:val="ru-RU"/>
        </w:rPr>
        <w:t xml:space="preserve"> — затраты привлечения.</w:t>
      </w:r>
    </w:p>
    <w:p w14:paraId="0D37EA55" w14:textId="77777777" w:rsidR="00641D70" w:rsidRPr="00641FF1" w:rsidRDefault="00000000">
      <w:pPr>
        <w:rPr>
          <w:lang w:val="ru-RU"/>
        </w:rPr>
      </w:pPr>
      <w:r w:rsidRPr="00641FF1">
        <w:rPr>
          <w:lang w:val="ru-RU"/>
        </w:rPr>
        <w:t xml:space="preserve">Для трех будущих месяцев примем </w:t>
      </w:r>
      <w:r>
        <w:t>p</w:t>
      </w:r>
      <w:r w:rsidRPr="00641FF1">
        <w:rPr>
          <w:lang w:val="ru-RU"/>
        </w:rPr>
        <w:t xml:space="preserve">ₜ = 1; 0,8; 0,6, вклад по 1 000 </w:t>
      </w:r>
      <w:proofErr w:type="spellStart"/>
      <w:r w:rsidRPr="00641FF1">
        <w:rPr>
          <w:lang w:val="ru-RU"/>
        </w:rPr>
        <w:t>тг</w:t>
      </w:r>
      <w:proofErr w:type="spellEnd"/>
      <w:r w:rsidRPr="00641FF1">
        <w:rPr>
          <w:lang w:val="ru-RU"/>
        </w:rPr>
        <w:t xml:space="preserve">, </w:t>
      </w:r>
      <w:r>
        <w:t>d</w:t>
      </w:r>
      <w:r w:rsidRPr="00641FF1">
        <w:rPr>
          <w:lang w:val="ru-RU"/>
        </w:rPr>
        <w:t xml:space="preserve"> = 0 и </w:t>
      </w:r>
      <w:r>
        <w:t>CAC</w:t>
      </w:r>
      <w:r w:rsidRPr="00641FF1">
        <w:rPr>
          <w:lang w:val="ru-RU"/>
        </w:rPr>
        <w:t xml:space="preserve"> = 1 500 </w:t>
      </w:r>
      <w:proofErr w:type="spellStart"/>
      <w:r w:rsidRPr="00641FF1">
        <w:rPr>
          <w:lang w:val="ru-RU"/>
        </w:rPr>
        <w:t>тг</w:t>
      </w:r>
      <w:proofErr w:type="spellEnd"/>
      <w:r w:rsidRPr="00641FF1">
        <w:rPr>
          <w:lang w:val="ru-RU"/>
        </w:rPr>
        <w:t xml:space="preserve">. Получим 2 400 − 1 500 = 900 </w:t>
      </w:r>
      <w:proofErr w:type="spellStart"/>
      <w:r w:rsidRPr="00641FF1">
        <w:rPr>
          <w:lang w:val="ru-RU"/>
        </w:rPr>
        <w:t>тг</w:t>
      </w:r>
      <w:proofErr w:type="spellEnd"/>
      <w:r w:rsidRPr="00641FF1">
        <w:rPr>
          <w:lang w:val="ru-RU"/>
        </w:rPr>
        <w:t>. Это условный прогноз на три месяца, а не доказанная прибыль за всю жизнь клиента.</w:t>
      </w:r>
    </w:p>
    <w:p w14:paraId="35257008" w14:textId="77777777" w:rsidR="00641D70" w:rsidRPr="00641FF1" w:rsidRDefault="00000000">
      <w:pPr>
        <w:rPr>
          <w:lang w:val="ru-RU"/>
        </w:rPr>
      </w:pPr>
      <w:r w:rsidRPr="00641FF1">
        <w:rPr>
          <w:lang w:val="ru-RU"/>
        </w:rPr>
        <w:t>В реальном расчете уточняют обслуживание, возвраты, бонусы, неопределенность и горизонт. Обозначенные допущения важнее впечатляющей точности числа. Нельзя считать выручку вкладом или дважды вычитать одни и те же затраты.</w:t>
      </w:r>
    </w:p>
    <w:p w14:paraId="7847C2BD" w14:textId="77777777" w:rsidR="00641D70" w:rsidRPr="00641FF1" w:rsidRDefault="00000000">
      <w:pPr>
        <w:pStyle w:val="1"/>
        <w:pageBreakBefore/>
        <w:rPr>
          <w:lang w:val="ru-RU"/>
        </w:rPr>
      </w:pPr>
      <w:r w:rsidRPr="00641FF1">
        <w:rPr>
          <w:lang w:val="ru-RU"/>
        </w:rPr>
        <w:lastRenderedPageBreak/>
        <w:t>5. Жалобы и программы развития отношений</w:t>
      </w:r>
    </w:p>
    <w:p w14:paraId="7406B2B6" w14:textId="77777777" w:rsidR="00641D70" w:rsidRPr="00641FF1" w:rsidRDefault="00000000">
      <w:pPr>
        <w:rPr>
          <w:lang w:val="ru-RU"/>
        </w:rPr>
      </w:pPr>
      <w:r w:rsidRPr="00641FF1">
        <w:rPr>
          <w:lang w:val="ru-RU"/>
        </w:rPr>
        <w:t>Жалоба содержит информацию о конкретном затруднении. Она не доказывает распространенность проблемы среди всех клиентов, но может обнаружить существенный дефект. Даже единичное сообщение заслуживает проверки, когда затрагивает обещанное качество, точность информации или возможность завершить взаимодействие.</w:t>
      </w:r>
    </w:p>
    <w:p w14:paraId="4002D93E" w14:textId="77777777" w:rsidR="00641D70" w:rsidRPr="00641FF1" w:rsidRDefault="00000000">
      <w:pPr>
        <w:pStyle w:val="21"/>
        <w:rPr>
          <w:lang w:val="ru-RU"/>
        </w:rPr>
      </w:pPr>
      <w:r w:rsidRPr="00641FF1">
        <w:rPr>
          <w:lang w:val="ru-RU"/>
        </w:rPr>
        <w:t>Последовательность работы</w:t>
      </w:r>
    </w:p>
    <w:p w14:paraId="4854F35E" w14:textId="77777777" w:rsidR="00641D70" w:rsidRPr="00641FF1" w:rsidRDefault="00000000">
      <w:pPr>
        <w:rPr>
          <w:lang w:val="ru-RU"/>
        </w:rPr>
      </w:pPr>
      <w:r w:rsidRPr="00641FF1">
        <w:rPr>
          <w:lang w:val="ru-RU"/>
        </w:rPr>
        <w:t>Сначала уточняют, что обещано и что произошло, сохраняя необходимые сведения. Затем признают подтвержденную проблему, объясняют доступные действия и устанавливают ответственного. После выполнения проверяют результат и передают выявленную причину в процесс улучшения. Извинение без исправления и исправление без понятного сообщения решают разные части задачи.</w:t>
      </w:r>
    </w:p>
    <w:p w14:paraId="7E0940CD" w14:textId="77777777" w:rsidR="00641D70" w:rsidRPr="00641FF1" w:rsidRDefault="00000000">
      <w:pPr>
        <w:rPr>
          <w:lang w:val="ru-RU"/>
        </w:rPr>
      </w:pPr>
      <w:r w:rsidRPr="00641FF1">
        <w:rPr>
          <w:lang w:val="ru-RU"/>
        </w:rPr>
        <w:t>Не следует обещать компенсацию или срок вне полномочий. Если причина неизвестна, можно сообщить, что уже подтверждено, что проверяется и когда будет обновление. Покупателю не нужно слышать неподтвержденную версию ради внешней уверенности сотрудника.</w:t>
      </w:r>
    </w:p>
    <w:p w14:paraId="4407E8A4" w14:textId="77777777" w:rsidR="00641D70" w:rsidRPr="00641FF1" w:rsidRDefault="00000000">
      <w:pPr>
        <w:pStyle w:val="21"/>
        <w:rPr>
          <w:lang w:val="ru-RU"/>
        </w:rPr>
      </w:pPr>
      <w:r w:rsidRPr="00641FF1">
        <w:rPr>
          <w:lang w:val="ru-RU"/>
        </w:rPr>
        <w:t>Программа отношений</w:t>
      </w:r>
    </w:p>
    <w:p w14:paraId="7E74B244" w14:textId="77777777" w:rsidR="00641D70" w:rsidRPr="00641FF1" w:rsidRDefault="00000000">
      <w:pPr>
        <w:rPr>
          <w:lang w:val="ru-RU"/>
        </w:rPr>
      </w:pPr>
      <w:r w:rsidRPr="00641FF1">
        <w:rPr>
          <w:lang w:val="ru-RU"/>
        </w:rPr>
        <w:t>Программа должна отвечать повторяющейся потребности. Возможные элементы — понятное освоение продукта, напоминание о согласованном действии, история обращений, облегченный повтор заказа и полезные преимущества. Бонусы являются одним инструментом, а не определением всей системы управления отношениями.</w:t>
      </w:r>
    </w:p>
    <w:tbl>
      <w:tblPr>
        <w:tblW w:w="0" w:type="auto"/>
        <w:jc w:val="center"/>
        <w:tblLayout w:type="fixed"/>
        <w:tblLook w:val="04A0" w:firstRow="1" w:lastRow="0" w:firstColumn="1" w:lastColumn="0" w:noHBand="0" w:noVBand="1"/>
      </w:tblPr>
      <w:tblGrid>
        <w:gridCol w:w="2154"/>
        <w:gridCol w:w="3402"/>
        <w:gridCol w:w="3855"/>
      </w:tblGrid>
      <w:tr w:rsidR="00641D70" w14:paraId="2717228F" w14:textId="77777777">
        <w:trPr>
          <w:cantSplit/>
          <w:tblHeader/>
          <w:jc w:val="center"/>
        </w:trPr>
        <w:tc>
          <w:tcPr>
            <w:tcW w:w="2154" w:type="dxa"/>
            <w:shd w:val="clear" w:color="auto" w:fill="254656"/>
            <w:tcMar>
              <w:top w:w="85" w:type="dxa"/>
              <w:left w:w="105" w:type="dxa"/>
              <w:bottom w:w="85" w:type="dxa"/>
              <w:right w:w="105" w:type="dxa"/>
            </w:tcMar>
            <w:vAlign w:val="center"/>
          </w:tcPr>
          <w:p w14:paraId="5DE7E0F9" w14:textId="77777777" w:rsidR="00641D70" w:rsidRDefault="00000000">
            <w:pPr>
              <w:pStyle w:val="TableText"/>
            </w:pPr>
            <w:proofErr w:type="spellStart"/>
            <w:r>
              <w:rPr>
                <w:rFonts w:eastAsia="Arial" w:cs="Arial"/>
                <w:b/>
                <w:color w:val="FFFFFF"/>
              </w:rPr>
              <w:t>Элемент</w:t>
            </w:r>
            <w:proofErr w:type="spellEnd"/>
          </w:p>
        </w:tc>
        <w:tc>
          <w:tcPr>
            <w:tcW w:w="3402" w:type="dxa"/>
            <w:shd w:val="clear" w:color="auto" w:fill="254656"/>
            <w:tcMar>
              <w:top w:w="85" w:type="dxa"/>
              <w:left w:w="105" w:type="dxa"/>
              <w:bottom w:w="85" w:type="dxa"/>
              <w:right w:w="105" w:type="dxa"/>
            </w:tcMar>
            <w:vAlign w:val="center"/>
          </w:tcPr>
          <w:p w14:paraId="23AE9D7B" w14:textId="77777777" w:rsidR="00641D70" w:rsidRDefault="00000000">
            <w:pPr>
              <w:pStyle w:val="TableText"/>
            </w:pPr>
            <w:r>
              <w:rPr>
                <w:rFonts w:eastAsia="Arial" w:cs="Arial"/>
                <w:b/>
                <w:color w:val="FFFFFF"/>
              </w:rPr>
              <w:t>Ожидаемая польза</w:t>
            </w:r>
          </w:p>
        </w:tc>
        <w:tc>
          <w:tcPr>
            <w:tcW w:w="3855" w:type="dxa"/>
            <w:shd w:val="clear" w:color="auto" w:fill="254656"/>
            <w:tcMar>
              <w:top w:w="85" w:type="dxa"/>
              <w:left w:w="105" w:type="dxa"/>
              <w:bottom w:w="85" w:type="dxa"/>
              <w:right w:w="105" w:type="dxa"/>
            </w:tcMar>
            <w:vAlign w:val="center"/>
          </w:tcPr>
          <w:p w14:paraId="7CDC362C" w14:textId="77777777" w:rsidR="00641D70" w:rsidRDefault="00000000">
            <w:pPr>
              <w:pStyle w:val="TableText"/>
            </w:pPr>
            <w:r>
              <w:rPr>
                <w:rFonts w:eastAsia="Arial" w:cs="Arial"/>
                <w:b/>
                <w:color w:val="FFFFFF"/>
              </w:rPr>
              <w:t>Ограничение проверки</w:t>
            </w:r>
          </w:p>
        </w:tc>
      </w:tr>
      <w:tr w:rsidR="00641D70" w:rsidRPr="00641FF1" w14:paraId="79C4C168" w14:textId="77777777">
        <w:trPr>
          <w:cantSplit/>
          <w:jc w:val="center"/>
        </w:trPr>
        <w:tc>
          <w:tcPr>
            <w:tcW w:w="2154" w:type="dxa"/>
            <w:shd w:val="clear" w:color="auto" w:fill="F0F5F7"/>
            <w:tcMar>
              <w:top w:w="85" w:type="dxa"/>
              <w:left w:w="105" w:type="dxa"/>
              <w:bottom w:w="85" w:type="dxa"/>
              <w:right w:w="105" w:type="dxa"/>
            </w:tcMar>
            <w:vAlign w:val="center"/>
          </w:tcPr>
          <w:p w14:paraId="3D958311" w14:textId="77777777" w:rsidR="00641D70" w:rsidRDefault="00000000">
            <w:pPr>
              <w:pStyle w:val="TableText"/>
            </w:pPr>
            <w:r>
              <w:rPr>
                <w:rFonts w:eastAsia="Arial" w:cs="Arial"/>
                <w:color w:val="243B48"/>
              </w:rPr>
              <w:t>Помощь при первом использовании</w:t>
            </w:r>
          </w:p>
        </w:tc>
        <w:tc>
          <w:tcPr>
            <w:tcW w:w="3402" w:type="dxa"/>
            <w:shd w:val="clear" w:color="auto" w:fill="F0F5F7"/>
            <w:tcMar>
              <w:top w:w="85" w:type="dxa"/>
              <w:left w:w="105" w:type="dxa"/>
              <w:bottom w:w="85" w:type="dxa"/>
              <w:right w:w="105" w:type="dxa"/>
            </w:tcMar>
            <w:vAlign w:val="center"/>
          </w:tcPr>
          <w:p w14:paraId="2BD20914" w14:textId="77777777" w:rsidR="00641D70" w:rsidRDefault="00000000">
            <w:pPr>
              <w:pStyle w:val="TableText"/>
            </w:pPr>
            <w:r>
              <w:rPr>
                <w:rFonts w:eastAsia="Arial" w:cs="Arial"/>
                <w:color w:val="243B48"/>
              </w:rPr>
              <w:t>Меньше неясных действий</w:t>
            </w:r>
          </w:p>
        </w:tc>
        <w:tc>
          <w:tcPr>
            <w:tcW w:w="3855" w:type="dxa"/>
            <w:shd w:val="clear" w:color="auto" w:fill="F0F5F7"/>
            <w:tcMar>
              <w:top w:w="85" w:type="dxa"/>
              <w:left w:w="105" w:type="dxa"/>
              <w:bottom w:w="85" w:type="dxa"/>
              <w:right w:w="105" w:type="dxa"/>
            </w:tcMar>
            <w:vAlign w:val="center"/>
          </w:tcPr>
          <w:p w14:paraId="33B31F4E" w14:textId="77777777" w:rsidR="00641D70" w:rsidRPr="00641FF1" w:rsidRDefault="00000000">
            <w:pPr>
              <w:pStyle w:val="TableText"/>
              <w:rPr>
                <w:lang w:val="ru-RU"/>
              </w:rPr>
            </w:pPr>
            <w:r w:rsidRPr="00641FF1">
              <w:rPr>
                <w:rFonts w:eastAsia="Arial" w:cs="Arial"/>
                <w:color w:val="243B48"/>
                <w:lang w:val="ru-RU"/>
              </w:rPr>
              <w:t>Не путать просмотр с освоением</w:t>
            </w:r>
          </w:p>
        </w:tc>
      </w:tr>
      <w:tr w:rsidR="00641D70" w14:paraId="0A4F4066" w14:textId="77777777">
        <w:trPr>
          <w:cantSplit/>
          <w:jc w:val="center"/>
        </w:trPr>
        <w:tc>
          <w:tcPr>
            <w:tcW w:w="2154" w:type="dxa"/>
            <w:shd w:val="clear" w:color="auto" w:fill="FFFFFF"/>
            <w:tcMar>
              <w:top w:w="85" w:type="dxa"/>
              <w:left w:w="105" w:type="dxa"/>
              <w:bottom w:w="85" w:type="dxa"/>
              <w:right w:w="105" w:type="dxa"/>
            </w:tcMar>
            <w:vAlign w:val="center"/>
          </w:tcPr>
          <w:p w14:paraId="0C3CBD54" w14:textId="77777777" w:rsidR="00641D70" w:rsidRDefault="00000000">
            <w:pPr>
              <w:pStyle w:val="TableText"/>
            </w:pPr>
            <w:proofErr w:type="spellStart"/>
            <w:r>
              <w:rPr>
                <w:rFonts w:eastAsia="Arial" w:cs="Arial"/>
                <w:color w:val="243B48"/>
              </w:rPr>
              <w:t>Повтор</w:t>
            </w:r>
            <w:proofErr w:type="spellEnd"/>
            <w:r>
              <w:rPr>
                <w:rFonts w:eastAsia="Arial" w:cs="Arial"/>
                <w:color w:val="243B48"/>
              </w:rPr>
              <w:t xml:space="preserve"> </w:t>
            </w:r>
            <w:proofErr w:type="spellStart"/>
            <w:r>
              <w:rPr>
                <w:rFonts w:eastAsia="Arial" w:cs="Arial"/>
                <w:color w:val="243B48"/>
              </w:rPr>
              <w:t>заказа</w:t>
            </w:r>
            <w:proofErr w:type="spellEnd"/>
          </w:p>
        </w:tc>
        <w:tc>
          <w:tcPr>
            <w:tcW w:w="3402" w:type="dxa"/>
            <w:shd w:val="clear" w:color="auto" w:fill="FFFFFF"/>
            <w:tcMar>
              <w:top w:w="85" w:type="dxa"/>
              <w:left w:w="105" w:type="dxa"/>
              <w:bottom w:w="85" w:type="dxa"/>
              <w:right w:w="105" w:type="dxa"/>
            </w:tcMar>
            <w:vAlign w:val="center"/>
          </w:tcPr>
          <w:p w14:paraId="1137ED73" w14:textId="77777777" w:rsidR="00641D70" w:rsidRDefault="00000000">
            <w:pPr>
              <w:pStyle w:val="TableText"/>
            </w:pPr>
            <w:r>
              <w:rPr>
                <w:rFonts w:eastAsia="Arial" w:cs="Arial"/>
                <w:color w:val="243B48"/>
              </w:rPr>
              <w:t>Меньше усилий</w:t>
            </w:r>
          </w:p>
        </w:tc>
        <w:tc>
          <w:tcPr>
            <w:tcW w:w="3855" w:type="dxa"/>
            <w:shd w:val="clear" w:color="auto" w:fill="FFFFFF"/>
            <w:tcMar>
              <w:top w:w="85" w:type="dxa"/>
              <w:left w:w="105" w:type="dxa"/>
              <w:bottom w:w="85" w:type="dxa"/>
              <w:right w:w="105" w:type="dxa"/>
            </w:tcMar>
            <w:vAlign w:val="center"/>
          </w:tcPr>
          <w:p w14:paraId="299D1584" w14:textId="77777777" w:rsidR="00641D70" w:rsidRDefault="00000000">
            <w:pPr>
              <w:pStyle w:val="TableText"/>
            </w:pPr>
            <w:r>
              <w:rPr>
                <w:rFonts w:eastAsia="Arial" w:cs="Arial"/>
                <w:color w:val="243B48"/>
              </w:rPr>
              <w:t>Подтвердить актуальность состава</w:t>
            </w:r>
          </w:p>
        </w:tc>
      </w:tr>
      <w:tr w:rsidR="00641D70" w14:paraId="61AE979E" w14:textId="77777777">
        <w:trPr>
          <w:cantSplit/>
          <w:jc w:val="center"/>
        </w:trPr>
        <w:tc>
          <w:tcPr>
            <w:tcW w:w="2154" w:type="dxa"/>
            <w:shd w:val="clear" w:color="auto" w:fill="F0F5F7"/>
            <w:tcMar>
              <w:top w:w="85" w:type="dxa"/>
              <w:left w:w="105" w:type="dxa"/>
              <w:bottom w:w="85" w:type="dxa"/>
              <w:right w:w="105" w:type="dxa"/>
            </w:tcMar>
            <w:vAlign w:val="center"/>
          </w:tcPr>
          <w:p w14:paraId="1D663B8F" w14:textId="77777777" w:rsidR="00641D70" w:rsidRDefault="00000000">
            <w:pPr>
              <w:pStyle w:val="TableText"/>
            </w:pPr>
            <w:r>
              <w:rPr>
                <w:rFonts w:eastAsia="Arial" w:cs="Arial"/>
                <w:color w:val="243B48"/>
              </w:rPr>
              <w:t>Прозрачные бонусы</w:t>
            </w:r>
          </w:p>
        </w:tc>
        <w:tc>
          <w:tcPr>
            <w:tcW w:w="3402" w:type="dxa"/>
            <w:shd w:val="clear" w:color="auto" w:fill="F0F5F7"/>
            <w:tcMar>
              <w:top w:w="85" w:type="dxa"/>
              <w:left w:w="105" w:type="dxa"/>
              <w:bottom w:w="85" w:type="dxa"/>
              <w:right w:w="105" w:type="dxa"/>
            </w:tcMar>
            <w:vAlign w:val="center"/>
          </w:tcPr>
          <w:p w14:paraId="7607A0C2" w14:textId="77777777" w:rsidR="00641D70" w:rsidRDefault="00000000">
            <w:pPr>
              <w:pStyle w:val="TableText"/>
            </w:pPr>
            <w:r>
              <w:rPr>
                <w:rFonts w:eastAsia="Arial" w:cs="Arial"/>
                <w:color w:val="243B48"/>
              </w:rPr>
              <w:t>Понятная дополнительная выгода</w:t>
            </w:r>
          </w:p>
        </w:tc>
        <w:tc>
          <w:tcPr>
            <w:tcW w:w="3855" w:type="dxa"/>
            <w:shd w:val="clear" w:color="auto" w:fill="F0F5F7"/>
            <w:tcMar>
              <w:top w:w="85" w:type="dxa"/>
              <w:left w:w="105" w:type="dxa"/>
              <w:bottom w:w="85" w:type="dxa"/>
              <w:right w:w="105" w:type="dxa"/>
            </w:tcMar>
            <w:vAlign w:val="center"/>
          </w:tcPr>
          <w:p w14:paraId="1DAF1B14" w14:textId="77777777" w:rsidR="00641D70" w:rsidRDefault="00000000">
            <w:pPr>
              <w:pStyle w:val="TableText"/>
            </w:pPr>
            <w:r>
              <w:rPr>
                <w:rFonts w:eastAsia="Arial" w:cs="Arial"/>
                <w:color w:val="243B48"/>
              </w:rPr>
              <w:t>Учитывать стоимость и условия</w:t>
            </w:r>
          </w:p>
        </w:tc>
      </w:tr>
      <w:tr w:rsidR="00641D70" w:rsidRPr="00641FF1" w14:paraId="0C356B91" w14:textId="77777777">
        <w:trPr>
          <w:cantSplit/>
          <w:jc w:val="center"/>
        </w:trPr>
        <w:tc>
          <w:tcPr>
            <w:tcW w:w="2154" w:type="dxa"/>
            <w:shd w:val="clear" w:color="auto" w:fill="FFFFFF"/>
            <w:tcMar>
              <w:top w:w="85" w:type="dxa"/>
              <w:left w:w="105" w:type="dxa"/>
              <w:bottom w:w="85" w:type="dxa"/>
              <w:right w:w="105" w:type="dxa"/>
            </w:tcMar>
            <w:vAlign w:val="center"/>
          </w:tcPr>
          <w:p w14:paraId="01FB81F0" w14:textId="77777777" w:rsidR="00641D70" w:rsidRDefault="00000000">
            <w:pPr>
              <w:pStyle w:val="TableText"/>
            </w:pPr>
            <w:r>
              <w:rPr>
                <w:rFonts w:eastAsia="Arial" w:cs="Arial"/>
                <w:color w:val="243B48"/>
              </w:rPr>
              <w:t>Обработка жалоб</w:t>
            </w:r>
          </w:p>
        </w:tc>
        <w:tc>
          <w:tcPr>
            <w:tcW w:w="3402" w:type="dxa"/>
            <w:shd w:val="clear" w:color="auto" w:fill="FFFFFF"/>
            <w:tcMar>
              <w:top w:w="85" w:type="dxa"/>
              <w:left w:w="105" w:type="dxa"/>
              <w:bottom w:w="85" w:type="dxa"/>
              <w:right w:w="105" w:type="dxa"/>
            </w:tcMar>
            <w:vAlign w:val="center"/>
          </w:tcPr>
          <w:p w14:paraId="28B47921" w14:textId="77777777" w:rsidR="00641D70" w:rsidRDefault="00000000">
            <w:pPr>
              <w:pStyle w:val="TableText"/>
            </w:pPr>
            <w:r>
              <w:rPr>
                <w:rFonts w:eastAsia="Arial" w:cs="Arial"/>
                <w:color w:val="243B48"/>
              </w:rPr>
              <w:t>Восстановление результата</w:t>
            </w:r>
          </w:p>
        </w:tc>
        <w:tc>
          <w:tcPr>
            <w:tcW w:w="3855" w:type="dxa"/>
            <w:shd w:val="clear" w:color="auto" w:fill="FFFFFF"/>
            <w:tcMar>
              <w:top w:w="85" w:type="dxa"/>
              <w:left w:w="105" w:type="dxa"/>
              <w:bottom w:w="85" w:type="dxa"/>
              <w:right w:w="105" w:type="dxa"/>
            </w:tcMar>
            <w:vAlign w:val="center"/>
          </w:tcPr>
          <w:p w14:paraId="2E97AF86" w14:textId="77777777" w:rsidR="00641D70" w:rsidRPr="00641FF1" w:rsidRDefault="00000000">
            <w:pPr>
              <w:pStyle w:val="TableText"/>
              <w:rPr>
                <w:lang w:val="ru-RU"/>
              </w:rPr>
            </w:pPr>
            <w:r w:rsidRPr="00641FF1">
              <w:rPr>
                <w:rFonts w:eastAsia="Arial" w:cs="Arial"/>
                <w:color w:val="243B48"/>
                <w:lang w:val="ru-RU"/>
              </w:rPr>
              <w:t>Проверять решение, а не только ответ</w:t>
            </w:r>
          </w:p>
        </w:tc>
      </w:tr>
    </w:tbl>
    <w:p w14:paraId="786C62E1" w14:textId="77777777" w:rsidR="00641D70" w:rsidRPr="00641FF1" w:rsidRDefault="00641D70">
      <w:pPr>
        <w:spacing w:after="0"/>
        <w:rPr>
          <w:lang w:val="ru-RU"/>
        </w:rPr>
      </w:pPr>
    </w:p>
    <w:p w14:paraId="711A3D55" w14:textId="77777777" w:rsidR="00641D70" w:rsidRPr="00641FF1" w:rsidRDefault="00000000">
      <w:pPr>
        <w:pStyle w:val="21"/>
        <w:rPr>
          <w:lang w:val="ru-RU"/>
        </w:rPr>
      </w:pPr>
      <w:r w:rsidRPr="00641FF1">
        <w:rPr>
          <w:lang w:val="ru-RU"/>
        </w:rPr>
        <w:t>Как проверить эффект</w:t>
      </w:r>
    </w:p>
    <w:p w14:paraId="16AFDFCA" w14:textId="77777777" w:rsidR="00641D70" w:rsidRPr="00641FF1" w:rsidRDefault="00000000">
      <w:pPr>
        <w:rPr>
          <w:lang w:val="ru-RU"/>
        </w:rPr>
      </w:pPr>
      <w:r w:rsidRPr="00641FF1">
        <w:rPr>
          <w:lang w:val="ru-RU"/>
        </w:rPr>
        <w:t xml:space="preserve">Сравнение участников программы с </w:t>
      </w:r>
      <w:proofErr w:type="spellStart"/>
      <w:r w:rsidRPr="00641FF1">
        <w:rPr>
          <w:lang w:val="ru-RU"/>
        </w:rPr>
        <w:t>неучастниками</w:t>
      </w:r>
      <w:proofErr w:type="spellEnd"/>
      <w:r w:rsidRPr="00641FF1">
        <w:rPr>
          <w:lang w:val="ru-RU"/>
        </w:rPr>
        <w:t xml:space="preserve"> может быть смещено: вступают люди, уже заинтересованные в компании. Для проверки дополнительного эффекта полезен заранее спланированный эксперимент или осторожно описанное сравнение сопоставимых групп. Наблюдаемая связь не доказывает, что программа вызвала повторение.</w:t>
      </w:r>
    </w:p>
    <w:p w14:paraId="7429103C" w14:textId="77777777" w:rsidR="00641D70" w:rsidRPr="00641FF1" w:rsidRDefault="00000000">
      <w:pPr>
        <w:rPr>
          <w:lang w:val="ru-RU"/>
        </w:rPr>
      </w:pPr>
      <w:r w:rsidRPr="00641FF1">
        <w:rPr>
          <w:lang w:val="ru-RU"/>
        </w:rPr>
        <w:t>Показатели должны включать полезное использование, затраты и доступность отказа. Нельзя объявлять успехом удержание за счет технически сложной отмены. Развитие отношений означает создание основания продолжать их, а не устранение альтернативы.</w:t>
      </w:r>
    </w:p>
    <w:p w14:paraId="6660D56A" w14:textId="77777777" w:rsidR="00641D70" w:rsidRPr="00641FF1" w:rsidRDefault="00000000">
      <w:pPr>
        <w:pStyle w:val="1"/>
        <w:pageBreakBefore/>
        <w:rPr>
          <w:lang w:val="ru-RU"/>
        </w:rPr>
      </w:pPr>
      <w:r w:rsidRPr="00641FF1">
        <w:rPr>
          <w:lang w:val="ru-RU"/>
        </w:rPr>
        <w:lastRenderedPageBreak/>
        <w:t>6. Разобранный кейс: подписка на наборы для творчества</w:t>
      </w:r>
    </w:p>
    <w:p w14:paraId="2BE83B05" w14:textId="77777777" w:rsidR="00641D70" w:rsidRPr="00641FF1" w:rsidRDefault="00000000">
      <w:pPr>
        <w:pStyle w:val="Small"/>
        <w:rPr>
          <w:lang w:val="ru-RU"/>
        </w:rPr>
      </w:pPr>
      <w:r w:rsidRPr="00641FF1">
        <w:rPr>
          <w:lang w:val="ru-RU"/>
        </w:rPr>
        <w:t>Организация «Мастерская дома» и все числа вымышлены. Данные предназначены для учебного анализа.</w:t>
      </w:r>
    </w:p>
    <w:p w14:paraId="072CFDCB" w14:textId="77777777" w:rsidR="00641D70" w:rsidRPr="00641FF1" w:rsidRDefault="00000000">
      <w:pPr>
        <w:rPr>
          <w:lang w:val="ru-RU"/>
        </w:rPr>
      </w:pPr>
      <w:r w:rsidRPr="00641FF1">
        <w:rPr>
          <w:lang w:val="ru-RU"/>
        </w:rPr>
        <w:t>В начале месяца сто человек впервые оформили подписку. К концу первого месяца активны восемьдесят из них. К концу второго — шестьдесят пять. Дополнительно во втором месяце пришли тридцать новых подписчиков. Менеджер сообщает: «У нас уже девяносто пять клиентов, значит, мы удержали почти всех». В опросе исходной сотни ответили сорок человек, из которых тридцать два довольны последним набором.</w:t>
      </w:r>
    </w:p>
    <w:p w14:paraId="64111974" w14:textId="77777777" w:rsidR="00641D70" w:rsidRPr="00641FF1" w:rsidRDefault="00000000">
      <w:pPr>
        <w:pStyle w:val="21"/>
        <w:rPr>
          <w:lang w:val="ru-RU"/>
        </w:rPr>
      </w:pPr>
      <w:r w:rsidRPr="00641FF1">
        <w:rPr>
          <w:lang w:val="ru-RU"/>
        </w:rPr>
        <w:t>Проверяем показатели</w:t>
      </w:r>
    </w:p>
    <w:p w14:paraId="7F0A66A1" w14:textId="77777777" w:rsidR="00641D70" w:rsidRPr="00641FF1" w:rsidRDefault="00000000">
      <w:pPr>
        <w:rPr>
          <w:lang w:val="ru-RU"/>
        </w:rPr>
      </w:pPr>
      <w:r w:rsidRPr="00641FF1">
        <w:rPr>
          <w:lang w:val="ru-RU"/>
        </w:rPr>
        <w:t>Удержание исходной когорты через месяц: 80 / 100 = 80%; через два: 65 / 100 = 65%. Отток от исходной сотни к концу второго месяца составляет 35% при условии, что все остальные действительно выбыли. Тридцать новых подписчиков описывают привлечение и не меняют эти доли.</w:t>
      </w:r>
    </w:p>
    <w:p w14:paraId="4D10397B" w14:textId="77777777" w:rsidR="00641D70" w:rsidRPr="00641FF1" w:rsidRDefault="00000000">
      <w:pPr>
        <w:rPr>
          <w:lang w:val="ru-RU"/>
        </w:rPr>
      </w:pPr>
      <w:r w:rsidRPr="00641FF1">
        <w:rPr>
          <w:lang w:val="ru-RU"/>
        </w:rPr>
        <w:t xml:space="preserve">Если пятнадцать участников выбыли именно из восьмидесяти активных </w:t>
      </w:r>
      <w:proofErr w:type="gramStart"/>
      <w:r w:rsidRPr="00641FF1">
        <w:rPr>
          <w:lang w:val="ru-RU"/>
        </w:rPr>
        <w:t>после первого месяца</w:t>
      </w:r>
      <w:proofErr w:type="gramEnd"/>
      <w:r w:rsidRPr="00641FF1">
        <w:rPr>
          <w:lang w:val="ru-RU"/>
        </w:rPr>
        <w:t xml:space="preserve"> и никто не вернулся, условное удержание между месяцами составляет 65 / 80 = 81,25%. Это другой знаменатель и другой вопрос. Его нельзя подменять двухмесячным удержанием от исходной сотни.</w:t>
      </w:r>
    </w:p>
    <w:p w14:paraId="0279FB6E" w14:textId="77777777" w:rsidR="00641D70" w:rsidRPr="00641FF1" w:rsidRDefault="00000000">
      <w:pPr>
        <w:pStyle w:val="21"/>
        <w:rPr>
          <w:lang w:val="ru-RU"/>
        </w:rPr>
      </w:pPr>
      <w:r w:rsidRPr="00641FF1">
        <w:rPr>
          <w:lang w:val="ru-RU"/>
        </w:rPr>
        <w:t>Анализируем удовлетворенность</w:t>
      </w:r>
    </w:p>
    <w:p w14:paraId="1CAF52FA" w14:textId="77777777" w:rsidR="00641D70" w:rsidRPr="00641FF1" w:rsidRDefault="00000000">
      <w:pPr>
        <w:rPr>
          <w:lang w:val="ru-RU"/>
        </w:rPr>
      </w:pPr>
      <w:r>
        <w:t>CSAT</w:t>
      </w:r>
      <w:r w:rsidRPr="00641FF1">
        <w:rPr>
          <w:lang w:val="ru-RU"/>
        </w:rPr>
        <w:t xml:space="preserve"> равен 32 / 40 = 80% среди ответивших. Доля участия в опросе — 40%. Без данных о </w:t>
      </w:r>
      <w:proofErr w:type="spellStart"/>
      <w:r w:rsidRPr="00641FF1">
        <w:rPr>
          <w:lang w:val="ru-RU"/>
        </w:rPr>
        <w:t>неответивших</w:t>
      </w:r>
      <w:proofErr w:type="spellEnd"/>
      <w:r w:rsidRPr="00641FF1">
        <w:rPr>
          <w:lang w:val="ru-RU"/>
        </w:rPr>
        <w:t xml:space="preserve"> нельзя переносить оценку на всю сотню. Возможное расхождение удовлетворенности и удержания нужно исследовать, а не объявлять ошибкой: человеку мог понравиться набор, но больше не понадобилась подписка.</w:t>
      </w:r>
    </w:p>
    <w:p w14:paraId="0D0EF427" w14:textId="77777777" w:rsidR="00641D70" w:rsidRPr="00641FF1" w:rsidRDefault="00000000">
      <w:pPr>
        <w:pStyle w:val="21"/>
        <w:rPr>
          <w:lang w:val="ru-RU"/>
        </w:rPr>
      </w:pPr>
      <w:r w:rsidRPr="00641FF1">
        <w:rPr>
          <w:lang w:val="ru-RU"/>
        </w:rPr>
        <w:t>Формируем решение</w:t>
      </w:r>
    </w:p>
    <w:p w14:paraId="11B9308C" w14:textId="77777777" w:rsidR="00641D70" w:rsidRPr="00641FF1" w:rsidRDefault="00000000">
      <w:pPr>
        <w:rPr>
          <w:lang w:val="ru-RU"/>
        </w:rPr>
      </w:pPr>
      <w:r w:rsidRPr="00641FF1">
        <w:rPr>
          <w:lang w:val="ru-RU"/>
        </w:rPr>
        <w:t>Команда анализирует причины прекращения, ясность продления, использование комплектов и качество помощи. Она не начинает с автоматической скидки всем. Одним людям может быть нужен разовый формат, другим — более понятная инструкция, третьим — пауза. Это гипотезы для проверки.</w:t>
      </w:r>
    </w:p>
    <w:p w14:paraId="08881D11" w14:textId="77777777" w:rsidR="00641D70" w:rsidRPr="00641FF1" w:rsidRDefault="00000000">
      <w:pPr>
        <w:pStyle w:val="21"/>
        <w:rPr>
          <w:lang w:val="ru-RU"/>
        </w:rPr>
      </w:pPr>
      <w:r w:rsidRPr="00641FF1">
        <w:rPr>
          <w:lang w:val="ru-RU"/>
        </w:rPr>
        <w:t>План проверки</w:t>
      </w:r>
    </w:p>
    <w:p w14:paraId="68CFBD1C" w14:textId="77777777" w:rsidR="00641D70" w:rsidRPr="00641FF1" w:rsidRDefault="00000000">
      <w:pPr>
        <w:rPr>
          <w:lang w:val="ru-RU"/>
        </w:rPr>
      </w:pPr>
      <w:r w:rsidRPr="00641FF1">
        <w:rPr>
          <w:lang w:val="ru-RU"/>
        </w:rPr>
        <w:t>Для следующей когорты фиксируют одинаковые окна наблюдения и критерии активности. Изменение инструкции тестируют отдельно от изменения тарифа; оценивают освоение, обращения и удержание. Возможность отказаться сохраняется. Итоговое решение учитывает вклад после затрат, а не только число действующих подписок.</w:t>
      </w:r>
    </w:p>
    <w:p w14:paraId="0496D443" w14:textId="77777777" w:rsidR="00641D70" w:rsidRPr="00641FF1" w:rsidRDefault="00000000">
      <w:pPr>
        <w:pStyle w:val="1"/>
        <w:pageBreakBefore/>
        <w:rPr>
          <w:lang w:val="ru-RU"/>
        </w:rPr>
      </w:pPr>
      <w:r w:rsidRPr="00641FF1">
        <w:rPr>
          <w:lang w:val="ru-RU"/>
        </w:rPr>
        <w:lastRenderedPageBreak/>
        <w:t>7. Самопроверка и самостоятельная работа</w:t>
      </w:r>
    </w:p>
    <w:p w14:paraId="2959AFD6" w14:textId="77777777" w:rsidR="00641D70" w:rsidRPr="00641FF1" w:rsidRDefault="00000000">
      <w:pPr>
        <w:pStyle w:val="Question"/>
        <w:rPr>
          <w:lang w:val="ru-RU"/>
        </w:rPr>
      </w:pPr>
      <w:r w:rsidRPr="00641FF1">
        <w:rPr>
          <w:lang w:val="ru-RU"/>
        </w:rPr>
        <w:t>1. Почему повторная покупка не равна доказанной лояльности?</w:t>
      </w:r>
    </w:p>
    <w:p w14:paraId="70BB5FA2" w14:textId="77777777" w:rsidR="00641D70" w:rsidRPr="00641FF1" w:rsidRDefault="00000000">
      <w:pPr>
        <w:rPr>
          <w:lang w:val="ru-RU"/>
        </w:rPr>
      </w:pPr>
      <w:r w:rsidRPr="00641FF1">
        <w:rPr>
          <w:lang w:val="ru-RU"/>
        </w:rPr>
        <w:t>Ориентир: повторение может объясняться удовлетворенностью, привычкой, местоположением или отсутствием доступной альтернативы. Причина требует дополнительного исследования.</w:t>
      </w:r>
    </w:p>
    <w:p w14:paraId="5F50C136" w14:textId="77777777" w:rsidR="00641D70" w:rsidRPr="00641FF1" w:rsidRDefault="00000000">
      <w:pPr>
        <w:pStyle w:val="Question"/>
        <w:rPr>
          <w:lang w:val="ru-RU"/>
        </w:rPr>
      </w:pPr>
      <w:r w:rsidRPr="00641FF1">
        <w:rPr>
          <w:lang w:val="ru-RU"/>
        </w:rPr>
        <w:t>2. Можно ли включить новых клиентов в удержание исходной когорты?</w:t>
      </w:r>
    </w:p>
    <w:p w14:paraId="38111C18" w14:textId="77777777" w:rsidR="00641D70" w:rsidRPr="00641FF1" w:rsidRDefault="00000000">
      <w:pPr>
        <w:rPr>
          <w:lang w:val="ru-RU"/>
        </w:rPr>
      </w:pPr>
      <w:r w:rsidRPr="00641FF1">
        <w:rPr>
          <w:lang w:val="ru-RU"/>
        </w:rPr>
        <w:t>Ориентир: нет. Они не принадлежат исходной группе. Привлечение и сохранение существующих отношений отражают разные процессы.</w:t>
      </w:r>
    </w:p>
    <w:p w14:paraId="036F98A4" w14:textId="77777777" w:rsidR="00641D70" w:rsidRPr="00641FF1" w:rsidRDefault="00000000">
      <w:pPr>
        <w:pStyle w:val="Question"/>
        <w:rPr>
          <w:lang w:val="ru-RU"/>
        </w:rPr>
      </w:pPr>
      <w:r w:rsidRPr="00641FF1">
        <w:rPr>
          <w:lang w:val="ru-RU"/>
        </w:rPr>
        <w:t>3. Что означает 80% положительных ответов в добровольном опросе?</w:t>
      </w:r>
    </w:p>
    <w:p w14:paraId="6B3F8FD6" w14:textId="77777777" w:rsidR="00641D70" w:rsidRPr="00641FF1" w:rsidRDefault="00000000">
      <w:pPr>
        <w:rPr>
          <w:lang w:val="ru-RU"/>
        </w:rPr>
      </w:pPr>
      <w:r w:rsidRPr="00641FF1">
        <w:rPr>
          <w:lang w:val="ru-RU"/>
        </w:rPr>
        <w:t xml:space="preserve">Ориентир: долю среди ответивших по заранее установленному правилу. Обобщение на всех клиентов требует оценки отбора и </w:t>
      </w:r>
      <w:proofErr w:type="spellStart"/>
      <w:r w:rsidRPr="00641FF1">
        <w:rPr>
          <w:lang w:val="ru-RU"/>
        </w:rPr>
        <w:t>неответов</w:t>
      </w:r>
      <w:proofErr w:type="spellEnd"/>
      <w:r w:rsidRPr="00641FF1">
        <w:rPr>
          <w:lang w:val="ru-RU"/>
        </w:rPr>
        <w:t>.</w:t>
      </w:r>
    </w:p>
    <w:p w14:paraId="007DF0CB" w14:textId="77777777" w:rsidR="00641D70" w:rsidRPr="00641FF1" w:rsidRDefault="00000000">
      <w:pPr>
        <w:pStyle w:val="Question"/>
        <w:rPr>
          <w:lang w:val="ru-RU"/>
        </w:rPr>
      </w:pPr>
      <w:r w:rsidRPr="00641FF1">
        <w:rPr>
          <w:lang w:val="ru-RU"/>
        </w:rPr>
        <w:t xml:space="preserve">4. Почему высокая выручка клиента не гарантирует высокой </w:t>
      </w:r>
      <w:r>
        <w:t>CLV</w:t>
      </w:r>
      <w:r w:rsidRPr="00641FF1">
        <w:rPr>
          <w:lang w:val="ru-RU"/>
        </w:rPr>
        <w:t>?</w:t>
      </w:r>
    </w:p>
    <w:p w14:paraId="7A8B4C85" w14:textId="77777777" w:rsidR="00641D70" w:rsidRPr="00641FF1" w:rsidRDefault="00000000">
      <w:pPr>
        <w:rPr>
          <w:lang w:val="ru-RU"/>
        </w:rPr>
      </w:pPr>
      <w:r w:rsidRPr="00641FF1">
        <w:rPr>
          <w:lang w:val="ru-RU"/>
        </w:rPr>
        <w:t>Ориентир: нужны переменные затраты, обслуживание, возвраты, привлечение, вероятности дальнейшей активности и выбранный горизонт.</w:t>
      </w:r>
    </w:p>
    <w:p w14:paraId="4D039409" w14:textId="77777777" w:rsidR="00641D70" w:rsidRPr="00641FF1" w:rsidRDefault="00000000">
      <w:pPr>
        <w:pStyle w:val="Question"/>
        <w:rPr>
          <w:lang w:val="ru-RU"/>
        </w:rPr>
      </w:pPr>
      <w:r w:rsidRPr="00641FF1">
        <w:rPr>
          <w:lang w:val="ru-RU"/>
        </w:rPr>
        <w:t>5. Зачем измерять результат решения жалобы после первого ответа?</w:t>
      </w:r>
    </w:p>
    <w:p w14:paraId="1D52FD1B" w14:textId="77777777" w:rsidR="00641D70" w:rsidRPr="00641FF1" w:rsidRDefault="00000000">
      <w:pPr>
        <w:rPr>
          <w:lang w:val="ru-RU"/>
        </w:rPr>
      </w:pPr>
      <w:r w:rsidRPr="00641FF1">
        <w:rPr>
          <w:lang w:val="ru-RU"/>
        </w:rPr>
        <w:t>Ориентир: подтверждение получения обращения еще не восстанавливает услугу. Важен фактический итог и отсутствие повторения дефекта.</w:t>
      </w:r>
    </w:p>
    <w:p w14:paraId="13C4B480" w14:textId="77777777" w:rsidR="00641D70" w:rsidRPr="00641FF1" w:rsidRDefault="00000000">
      <w:pPr>
        <w:pStyle w:val="21"/>
        <w:rPr>
          <w:lang w:val="ru-RU"/>
        </w:rPr>
      </w:pPr>
      <w:r w:rsidRPr="00641FF1">
        <w:rPr>
          <w:lang w:val="ru-RU"/>
        </w:rPr>
        <w:t>Самостоятельное задание</w:t>
      </w:r>
    </w:p>
    <w:p w14:paraId="7C4D551C" w14:textId="77777777" w:rsidR="00641D70" w:rsidRPr="00641FF1" w:rsidRDefault="00000000">
      <w:pPr>
        <w:rPr>
          <w:lang w:val="ru-RU"/>
        </w:rPr>
      </w:pPr>
      <w:r w:rsidRPr="00641FF1">
        <w:rPr>
          <w:lang w:val="ru-RU"/>
        </w:rPr>
        <w:t>В вымышленном сервисе исходная когорта составляет 120 участников. Через месяц активны 90, через два — 72. Между этими датами из исходной когорты никто не возвращался, новых клиентов пришло 45. Из 50 участников исходной когорты, ответивших на опрос, 35 удовлетворены обслуживанием.</w:t>
      </w:r>
    </w:p>
    <w:p w14:paraId="3DC6FF5E" w14:textId="77777777" w:rsidR="00641D70" w:rsidRPr="00641FF1" w:rsidRDefault="00000000">
      <w:pPr>
        <w:rPr>
          <w:lang w:val="ru-RU"/>
        </w:rPr>
      </w:pPr>
      <w:r w:rsidRPr="00641FF1">
        <w:rPr>
          <w:lang w:val="ru-RU"/>
        </w:rPr>
        <w:t>Рассчитайте удержание от исходной группы на обе даты, условное удержание между месяцами, долю положительных ответов и долю участия в опросе исходной когорты. Объясните, какие выводы нельзя сделать. Предложите два вопроса о причинах прекращения и план проверки одной программы отношений.</w:t>
      </w:r>
    </w:p>
    <w:p w14:paraId="163F9E14" w14:textId="77777777" w:rsidR="00641D70" w:rsidRPr="00641FF1" w:rsidRDefault="00000000">
      <w:pPr>
        <w:rPr>
          <w:lang w:val="ru-RU"/>
        </w:rPr>
      </w:pPr>
      <w:r w:rsidRPr="00641FF1">
        <w:rPr>
          <w:lang w:val="ru-RU"/>
        </w:rPr>
        <w:t>Объем — 700–900 слов. При описании программы укажите полезность для потребителя, затраты, основной показатель и защитное условие. Реальные опросы и персональные сведения не требуются; план не представляется как уже проведенное исследование.</w:t>
      </w:r>
    </w:p>
    <w:p w14:paraId="21A03272" w14:textId="77777777" w:rsidR="00641D70" w:rsidRPr="00641FF1" w:rsidRDefault="00000000">
      <w:pPr>
        <w:pStyle w:val="21"/>
        <w:rPr>
          <w:lang w:val="ru-RU"/>
        </w:rPr>
      </w:pPr>
      <w:r w:rsidRPr="00641FF1">
        <w:rPr>
          <w:lang w:val="ru-RU"/>
        </w:rPr>
        <w:t>Критерии качества</w:t>
      </w:r>
    </w:p>
    <w:p w14:paraId="19BBF657" w14:textId="77777777" w:rsidR="00641D70" w:rsidRPr="00641FF1" w:rsidRDefault="00000000">
      <w:pPr>
        <w:rPr>
          <w:lang w:val="ru-RU"/>
        </w:rPr>
      </w:pPr>
      <w:r w:rsidRPr="00641FF1">
        <w:rPr>
          <w:lang w:val="ru-RU"/>
        </w:rPr>
        <w:t>Правильность расчетов и знаменателей — 30%; интерпретация ограничений — 25%; обоснование программы — 25%; качество проверки и уважение выбора — 20%.</w:t>
      </w:r>
    </w:p>
    <w:p w14:paraId="5AE6208D" w14:textId="77777777" w:rsidR="00641D70" w:rsidRPr="00641FF1" w:rsidRDefault="00000000">
      <w:pPr>
        <w:pStyle w:val="1"/>
        <w:pageBreakBefore/>
        <w:rPr>
          <w:lang w:val="ru-RU"/>
        </w:rPr>
      </w:pPr>
      <w:r w:rsidRPr="00641FF1">
        <w:rPr>
          <w:lang w:val="ru-RU"/>
        </w:rPr>
        <w:lastRenderedPageBreak/>
        <w:t>8. Итоги и опорные понятия</w:t>
      </w:r>
    </w:p>
    <w:p w14:paraId="497B9CDC" w14:textId="77777777" w:rsidR="00641D70" w:rsidRPr="00641FF1" w:rsidRDefault="00000000">
      <w:pPr>
        <w:rPr>
          <w:lang w:val="ru-RU"/>
        </w:rPr>
      </w:pPr>
      <w:r w:rsidRPr="00641FF1">
        <w:rPr>
          <w:lang w:val="ru-RU"/>
        </w:rPr>
        <w:t>Отношения с потребителями нельзя описать одной цифрой. Удовлетворенность относится к оценке опыта, повторение — к наблюдаемому действию, а лояльность требует понимания основания предпочтения. Инерция может упрощать жизнь, но не оправдывает препятствий для свободного прекращения отношений.</w:t>
      </w:r>
    </w:p>
    <w:p w14:paraId="263D8362" w14:textId="77777777" w:rsidR="00641D70" w:rsidRPr="00641FF1" w:rsidRDefault="00000000">
      <w:pPr>
        <w:rPr>
          <w:lang w:val="ru-RU"/>
        </w:rPr>
      </w:pPr>
      <w:r w:rsidRPr="00641FF1">
        <w:rPr>
          <w:lang w:val="ru-RU"/>
        </w:rPr>
        <w:t>Когортный подход сохраняет сопоставимость групп и периодов. Ожидаемая ценность учитывает экономический вклад и неопределенность, а не только выручку. Программы отношений оцениваются по дополнительной полезности, качеству обслуживания и затратам. Работа с жалобой завершается проверкой исправления, а не красивым ответом.</w:t>
      </w:r>
    </w:p>
    <w:p w14:paraId="20E609D1" w14:textId="77777777" w:rsidR="00641D70" w:rsidRPr="00641FF1" w:rsidRDefault="00000000">
      <w:pPr>
        <w:pStyle w:val="21"/>
        <w:rPr>
          <w:lang w:val="ru-RU"/>
        </w:rPr>
      </w:pPr>
      <w:r w:rsidRPr="00641FF1">
        <w:rPr>
          <w:lang w:val="ru-RU"/>
        </w:rPr>
        <w:t>Мини-глоссарий</w:t>
      </w:r>
    </w:p>
    <w:p w14:paraId="341347C8" w14:textId="77777777" w:rsidR="00641D70" w:rsidRPr="00641FF1" w:rsidRDefault="00000000">
      <w:pPr>
        <w:rPr>
          <w:lang w:val="ru-RU"/>
        </w:rPr>
      </w:pPr>
      <w:r w:rsidRPr="00641FF1">
        <w:rPr>
          <w:b/>
          <w:lang w:val="ru-RU"/>
        </w:rPr>
        <w:t>Удовлетворенность</w:t>
      </w:r>
      <w:r w:rsidRPr="00641FF1">
        <w:rPr>
          <w:lang w:val="ru-RU"/>
        </w:rPr>
        <w:t xml:space="preserve"> — оценка конкретного опыта или отношений за определенный период.</w:t>
      </w:r>
    </w:p>
    <w:p w14:paraId="62B5879D" w14:textId="77777777" w:rsidR="00641D70" w:rsidRPr="00641FF1" w:rsidRDefault="00000000">
      <w:pPr>
        <w:rPr>
          <w:lang w:val="ru-RU"/>
        </w:rPr>
      </w:pPr>
      <w:r w:rsidRPr="00641FF1">
        <w:rPr>
          <w:b/>
          <w:lang w:val="ru-RU"/>
        </w:rPr>
        <w:t>Лояльность</w:t>
      </w:r>
      <w:r w:rsidRPr="00641FF1">
        <w:rPr>
          <w:lang w:val="ru-RU"/>
        </w:rPr>
        <w:t xml:space="preserve"> — устойчивое предпочтение, анализируемое через отношение и поведение.</w:t>
      </w:r>
    </w:p>
    <w:p w14:paraId="69208892" w14:textId="77777777" w:rsidR="00641D70" w:rsidRPr="00641FF1" w:rsidRDefault="00000000">
      <w:pPr>
        <w:rPr>
          <w:lang w:val="ru-RU"/>
        </w:rPr>
      </w:pPr>
      <w:r w:rsidRPr="00641FF1">
        <w:rPr>
          <w:b/>
          <w:lang w:val="ru-RU"/>
        </w:rPr>
        <w:t>Когорта</w:t>
      </w:r>
      <w:r w:rsidRPr="00641FF1">
        <w:rPr>
          <w:lang w:val="ru-RU"/>
        </w:rPr>
        <w:t xml:space="preserve"> — группа с общим событием входа и периодом его наступления.</w:t>
      </w:r>
    </w:p>
    <w:p w14:paraId="20243084" w14:textId="77777777" w:rsidR="00641D70" w:rsidRPr="00641FF1" w:rsidRDefault="00000000">
      <w:pPr>
        <w:rPr>
          <w:lang w:val="ru-RU"/>
        </w:rPr>
      </w:pPr>
      <w:r w:rsidRPr="00641FF1">
        <w:rPr>
          <w:b/>
          <w:lang w:val="ru-RU"/>
        </w:rPr>
        <w:t>Удержание</w:t>
      </w:r>
      <w:r w:rsidRPr="00641FF1">
        <w:rPr>
          <w:lang w:val="ru-RU"/>
        </w:rPr>
        <w:t xml:space="preserve"> — доля исходной группы, сохраняющая заданный признак активности.</w:t>
      </w:r>
    </w:p>
    <w:p w14:paraId="27660BE0" w14:textId="77777777" w:rsidR="00641D70" w:rsidRPr="00641FF1" w:rsidRDefault="00000000">
      <w:pPr>
        <w:rPr>
          <w:lang w:val="ru-RU"/>
        </w:rPr>
      </w:pPr>
      <w:r w:rsidRPr="00641FF1">
        <w:rPr>
          <w:b/>
          <w:lang w:val="ru-RU"/>
        </w:rPr>
        <w:t>Отток</w:t>
      </w:r>
      <w:r w:rsidRPr="00641FF1">
        <w:rPr>
          <w:lang w:val="ru-RU"/>
        </w:rPr>
        <w:t xml:space="preserve"> — прекращение активности по заранее установленному критерию и периоду.</w:t>
      </w:r>
    </w:p>
    <w:p w14:paraId="10E254A3" w14:textId="77777777" w:rsidR="00641D70" w:rsidRPr="00641FF1" w:rsidRDefault="00000000">
      <w:pPr>
        <w:rPr>
          <w:lang w:val="ru-RU"/>
        </w:rPr>
      </w:pPr>
      <w:r>
        <w:rPr>
          <w:b/>
        </w:rPr>
        <w:t>CLV</w:t>
      </w:r>
      <w:r w:rsidRPr="00641FF1">
        <w:rPr>
          <w:lang w:val="ru-RU"/>
        </w:rPr>
        <w:t xml:space="preserve"> — ожидаемый экономический результат отношений на обозначенном горизонте.</w:t>
      </w:r>
    </w:p>
    <w:p w14:paraId="55D5B6E6" w14:textId="77777777" w:rsidR="00641D70" w:rsidRDefault="00000000">
      <w:pPr>
        <w:pStyle w:val="21"/>
      </w:pPr>
      <w:proofErr w:type="spellStart"/>
      <w:r>
        <w:t>Источники</w:t>
      </w:r>
      <w:proofErr w:type="spellEnd"/>
      <w:r>
        <w:t xml:space="preserve"> и </w:t>
      </w:r>
      <w:proofErr w:type="spellStart"/>
      <w:r>
        <w:t>дальнейшее</w:t>
      </w:r>
      <w:proofErr w:type="spellEnd"/>
      <w:r>
        <w:t xml:space="preserve"> </w:t>
      </w:r>
      <w:proofErr w:type="spellStart"/>
      <w:r>
        <w:t>чтение</w:t>
      </w:r>
      <w:proofErr w:type="spellEnd"/>
    </w:p>
    <w:p w14:paraId="02D66C8D" w14:textId="77777777" w:rsidR="00641D70" w:rsidRDefault="00000000">
      <w:pPr>
        <w:pStyle w:val="Small"/>
        <w:keepNext/>
      </w:pPr>
      <w:r>
        <w:t>[1] Gomez Albrecht M., Green M., Hoffman L. Principles of Marketing. OpenStax, 2023. § 11.3: The Gap Model of Service Quality.</w:t>
      </w:r>
    </w:p>
    <w:p w14:paraId="770F0C46" w14:textId="77777777" w:rsidR="00641D70" w:rsidRDefault="00000000">
      <w:pPr>
        <w:pStyle w:val="Small"/>
      </w:pPr>
      <w:hyperlink r:id="rId8">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1756DC56" w14:textId="77777777" w:rsidR="00641D70" w:rsidRDefault="00000000">
      <w:pPr>
        <w:pStyle w:val="Small"/>
        <w:keepNext/>
      </w:pPr>
      <w:r>
        <w:t>[2] Lemon K. N., Verhoef P. C. Understanding Customer Experience Throughout the Customer Journey. Journal of Marketing. 2016. 80(6): 69–96. DOI: 10.1509/jm.15.0420.</w:t>
      </w:r>
    </w:p>
    <w:p w14:paraId="7A4F7FDE" w14:textId="77777777" w:rsidR="00641D70" w:rsidRDefault="00000000">
      <w:pPr>
        <w:pStyle w:val="Small"/>
      </w:pPr>
      <w:hyperlink r:id="rId9">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56E9636E" w14:textId="77777777" w:rsidR="00641D70" w:rsidRDefault="00000000">
      <w:pPr>
        <w:pStyle w:val="Small"/>
        <w:keepNext/>
      </w:pPr>
      <w:r>
        <w:t>[3] AAPOR. Best Practices for Survey Research. Методические рекомендации American Association for Public Opinion Research.</w:t>
      </w:r>
    </w:p>
    <w:p w14:paraId="52984F7F" w14:textId="77777777" w:rsidR="00641D70" w:rsidRPr="00641FF1" w:rsidRDefault="00000000">
      <w:pPr>
        <w:pStyle w:val="Small"/>
        <w:rPr>
          <w:lang w:val="ru-RU"/>
        </w:rPr>
      </w:pPr>
      <w:hyperlink r:id="rId10">
        <w:r w:rsidRPr="00641FF1">
          <w:rPr>
            <w:color w:val="236C78"/>
            <w:u w:val="single"/>
            <w:lang w:val="ru-RU"/>
          </w:rPr>
          <w:t>Открыть источник</w:t>
        </w:r>
      </w:hyperlink>
    </w:p>
    <w:p w14:paraId="4ED92AE7" w14:textId="0A2065B8" w:rsidR="00641D70" w:rsidRPr="00641FF1" w:rsidRDefault="00641D70">
      <w:pPr>
        <w:rPr>
          <w:lang w:val="ru-RU"/>
        </w:rPr>
      </w:pPr>
    </w:p>
    <w:sectPr w:rsidR="00641D70" w:rsidRPr="00641FF1" w:rsidSect="00034616">
      <w:headerReference w:type="default" r:id="rId11"/>
      <w:footerReference w:type="default" r:id="rId12"/>
      <w:pgSz w:w="11906" w:h="16838"/>
      <w:pgMar w:top="1049" w:right="1247" w:bottom="1020"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1526D" w14:textId="77777777" w:rsidR="00A836AC" w:rsidRDefault="00A836AC">
      <w:pPr>
        <w:spacing w:after="0" w:line="240" w:lineRule="auto"/>
      </w:pPr>
      <w:r>
        <w:separator/>
      </w:r>
    </w:p>
  </w:endnote>
  <w:endnote w:type="continuationSeparator" w:id="0">
    <w:p w14:paraId="5F364A55" w14:textId="77777777" w:rsidR="00A836AC" w:rsidRDefault="00A83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197B" w14:textId="3B14A6BC" w:rsidR="00641D70" w:rsidRDefault="00641D70">
    <w:pPr>
      <w:pStyle w:val="a7"/>
      <w:tabs>
        <w:tab w:val="right" w:pos="94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F4BD0" w14:textId="77777777" w:rsidR="00A836AC" w:rsidRDefault="00A836AC">
      <w:pPr>
        <w:spacing w:after="0" w:line="240" w:lineRule="auto"/>
      </w:pPr>
      <w:r>
        <w:separator/>
      </w:r>
    </w:p>
  </w:footnote>
  <w:footnote w:type="continuationSeparator" w:id="0">
    <w:p w14:paraId="67D4ECB3" w14:textId="77777777" w:rsidR="00A836AC" w:rsidRDefault="00A83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E513" w14:textId="488540D2" w:rsidR="00641D70" w:rsidRDefault="00641D70">
    <w:pPr>
      <w:pStyle w:val="a5"/>
      <w:pBdr>
        <w:bottom w:val="single" w:sz="4" w:space="0" w:color="CEDD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93483122">
    <w:abstractNumId w:val="8"/>
  </w:num>
  <w:num w:numId="2" w16cid:durableId="1118449394">
    <w:abstractNumId w:val="6"/>
  </w:num>
  <w:num w:numId="3" w16cid:durableId="332874642">
    <w:abstractNumId w:val="5"/>
  </w:num>
  <w:num w:numId="4" w16cid:durableId="962660287">
    <w:abstractNumId w:val="4"/>
  </w:num>
  <w:num w:numId="5" w16cid:durableId="405222916">
    <w:abstractNumId w:val="7"/>
  </w:num>
  <w:num w:numId="6" w16cid:durableId="1684165440">
    <w:abstractNumId w:val="3"/>
  </w:num>
  <w:num w:numId="7" w16cid:durableId="2012682012">
    <w:abstractNumId w:val="2"/>
  </w:num>
  <w:num w:numId="8" w16cid:durableId="2035575384">
    <w:abstractNumId w:val="1"/>
  </w:num>
  <w:num w:numId="9" w16cid:durableId="2070570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41D70"/>
    <w:rsid w:val="00641FF1"/>
    <w:rsid w:val="00A836AC"/>
    <w:rsid w:val="00AA1D8D"/>
    <w:rsid w:val="00B47730"/>
    <w:rsid w:val="00CB0664"/>
    <w:rsid w:val="00ED72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1D7355"/>
  <w14:defaultImageDpi w14:val="300"/>
  <w15:docId w15:val="{C307CAE0-A326-4077-B51C-75F13FE1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3323A"/>
      <w:sz w:val="24"/>
    </w:rPr>
  </w:style>
  <w:style w:type="paragraph" w:styleId="1">
    <w:name w:val="heading 1"/>
    <w:basedOn w:val="a1"/>
    <w:next w:val="a1"/>
    <w:link w:val="10"/>
    <w:uiPriority w:val="9"/>
    <w:qFormat/>
    <w:rsid w:val="00FC693F"/>
    <w:pPr>
      <w:keepNext/>
      <w:keepLines/>
      <w:spacing w:before="180" w:after="160"/>
      <w:outlineLvl w:val="0"/>
    </w:pPr>
    <w:rPr>
      <w:rFonts w:asciiTheme="majorHAnsi" w:eastAsiaTheme="majorEastAsia" w:hAnsiTheme="majorHAnsi" w:cstheme="majorBidi"/>
      <w:b/>
      <w:bCs/>
      <w:color w:val="193A4A"/>
      <w:sz w:val="34"/>
      <w:szCs w:val="28"/>
    </w:rPr>
  </w:style>
  <w:style w:type="paragraph" w:styleId="21">
    <w:name w:val="heading 2"/>
    <w:basedOn w:val="a1"/>
    <w:next w:val="a1"/>
    <w:link w:val="22"/>
    <w:uiPriority w:val="9"/>
    <w:unhideWhenUsed/>
    <w:qFormat/>
    <w:rsid w:val="00FC693F"/>
    <w:pPr>
      <w:keepNext/>
      <w:keepLines/>
      <w:spacing w:before="180" w:after="160"/>
      <w:outlineLvl w:val="1"/>
    </w:pPr>
    <w:rPr>
      <w:rFonts w:asciiTheme="majorHAnsi" w:eastAsiaTheme="majorEastAsia" w:hAnsiTheme="majorHAnsi" w:cstheme="majorBidi"/>
      <w:b/>
      <w:bCs/>
      <w:color w:val="236C78"/>
      <w:sz w:val="26"/>
      <w:szCs w:val="26"/>
    </w:rPr>
  </w:style>
  <w:style w:type="paragraph" w:styleId="31">
    <w:name w:val="heading 3"/>
    <w:basedOn w:val="a1"/>
    <w:next w:val="a1"/>
    <w:link w:val="32"/>
    <w:uiPriority w:val="9"/>
    <w:unhideWhenUsed/>
    <w:qFormat/>
    <w:rsid w:val="00FC693F"/>
    <w:pPr>
      <w:keepNext/>
      <w:keepLines/>
      <w:spacing w:before="180" w:after="160"/>
      <w:outlineLvl w:val="2"/>
    </w:pPr>
    <w:rPr>
      <w:rFonts w:asciiTheme="majorHAnsi" w:eastAsiaTheme="majorEastAsia" w:hAnsiTheme="majorHAnsi" w:cstheme="majorBidi"/>
      <w:b/>
      <w:bCs/>
      <w:color w:val="193A4A"/>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A4A"/>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a1"/>
    <w:pPr>
      <w:spacing w:after="100"/>
    </w:pPr>
    <w:rPr>
      <w:rFonts w:ascii="Arial" w:hAnsi="Arial"/>
      <w:sz w:val="21"/>
    </w:rPr>
  </w:style>
  <w:style w:type="paragraph" w:customStyle="1" w:styleId="Small">
    <w:name w:val="Small"/>
    <w:basedOn w:val="a1"/>
    <w:pPr>
      <w:spacing w:after="100"/>
    </w:pPr>
    <w:rPr>
      <w:rFonts w:ascii="Arial" w:hAnsi="Arial"/>
      <w:sz w:val="21"/>
    </w:rPr>
  </w:style>
  <w:style w:type="paragraph" w:customStyle="1" w:styleId="Callout">
    <w:name w:val="Callout"/>
    <w:basedOn w:val="a1"/>
    <w:pPr>
      <w:spacing w:before="100" w:after="200"/>
      <w:ind w:left="142" w:right="85"/>
    </w:pPr>
    <w:rPr>
      <w:rFonts w:ascii="Arial" w:hAnsi="Arial"/>
      <w:color w:val="245C65"/>
      <w:sz w:val="23"/>
    </w:rPr>
  </w:style>
  <w:style w:type="paragraph" w:customStyle="1" w:styleId="Question">
    <w:name w:val="Question"/>
    <w:basedOn w:val="a1"/>
    <w:pPr>
      <w:keepNext/>
      <w:spacing w:after="10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books/principles-marketing/pages/11-3-the-gap-model-of-service-qualit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apor.org/standards-and-ethics/best-practices/" TargetMode="External"/><Relationship Id="rId4" Type="http://schemas.openxmlformats.org/officeDocument/2006/relationships/settings" Target="settings.xml"/><Relationship Id="rId9" Type="http://schemas.openxmlformats.org/officeDocument/2006/relationships/hyperlink" Target="https://research.rug.nl/en/publications/understanding-customer-experience-throughout-the-customer-journe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2624</Words>
  <Characters>14961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Удовлетворенность, лояльность и отношения с клиентами</dc:title>
  <dc:subject>Управление поведением потребителей на рынке — лекционный курс</dc:subject>
  <dc:creator>Учебные материалы</dc:creator>
  <cp:keywords>бакалавриат; потребительское поведение; дистанционное обучение</cp:keywords>
  <dc:description>generated by python-docx</dc:description>
  <cp:lastModifiedBy>Mikhail Sizov</cp:lastModifiedBy>
  <cp:revision>3</cp:revision>
  <dcterms:created xsi:type="dcterms:W3CDTF">2013-12-23T23:15:00Z</dcterms:created>
  <dcterms:modified xsi:type="dcterms:W3CDTF">2026-09-28T09:55:00Z</dcterms:modified>
  <cp:category/>
</cp:coreProperties>
</file>