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E14FD" w14:textId="77777777" w:rsidR="00207DEC" w:rsidRPr="00016E74" w:rsidRDefault="00000000">
      <w:pPr>
        <w:pStyle w:val="aa"/>
        <w:rPr>
          <w:lang w:val="ru-RU"/>
        </w:rPr>
      </w:pPr>
      <w:r w:rsidRPr="00016E74">
        <w:rPr>
          <w:lang w:val="ru-RU"/>
        </w:rPr>
        <w:t xml:space="preserve">Покупательский опыт, розничная среда и </w:t>
      </w:r>
      <w:proofErr w:type="spellStart"/>
      <w:r w:rsidRPr="00016E74">
        <w:rPr>
          <w:lang w:val="ru-RU"/>
        </w:rPr>
        <w:t>омниканальное</w:t>
      </w:r>
      <w:proofErr w:type="spellEnd"/>
      <w:r w:rsidRPr="00016E74">
        <w:rPr>
          <w:lang w:val="ru-RU"/>
        </w:rPr>
        <w:t xml:space="preserve"> поведение</w:t>
      </w:r>
    </w:p>
    <w:p w14:paraId="5C580859" w14:textId="77777777" w:rsidR="00207DEC" w:rsidRPr="00016E74" w:rsidRDefault="00000000">
      <w:pPr>
        <w:pStyle w:val="Small"/>
        <w:rPr>
          <w:lang w:val="ru-RU"/>
        </w:rPr>
      </w:pPr>
      <w:r w:rsidRPr="00016E74">
        <w:rPr>
          <w:lang w:val="ru-RU"/>
        </w:rPr>
        <w:t>Лекция 12 • Неделя 12 • Курс «Управление поведением потребителей на рынке»</w:t>
      </w:r>
    </w:p>
    <w:p w14:paraId="7C579D65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Вопросы лекции</w:t>
      </w:r>
    </w:p>
    <w:p w14:paraId="483E3902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1. Как описывать путь клиента и отличать его от внутреннего процесса?</w:t>
      </w:r>
    </w:p>
    <w:p w14:paraId="161DCB62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2. Как магазин, сайт и среда обслуживания поддерживают потребительскую задачу?</w:t>
      </w:r>
    </w:p>
    <w:p w14:paraId="10103749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 xml:space="preserve">3. Чем </w:t>
      </w:r>
      <w:proofErr w:type="spellStart"/>
      <w:r w:rsidRPr="00016E74">
        <w:rPr>
          <w:lang w:val="ru-RU"/>
        </w:rPr>
        <w:t>омниканальность</w:t>
      </w:r>
      <w:proofErr w:type="spellEnd"/>
      <w:r w:rsidRPr="00016E74">
        <w:rPr>
          <w:lang w:val="ru-RU"/>
        </w:rPr>
        <w:t xml:space="preserve"> отличается от наличия нескольких каналов?</w:t>
      </w:r>
    </w:p>
    <w:p w14:paraId="5925A656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4. Как связать клиентские затруднения с операционными причинами?</w:t>
      </w:r>
    </w:p>
    <w:p w14:paraId="146B21A3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5. Как измерять доступность, усилия и качество взаимодействия?</w:t>
      </w:r>
    </w:p>
    <w:p w14:paraId="3AA82211" w14:textId="77777777" w:rsidR="00207DEC" w:rsidRPr="00016E74" w:rsidRDefault="00000000">
      <w:pPr>
        <w:pStyle w:val="1"/>
        <w:pageBreakBefore/>
        <w:rPr>
          <w:lang w:val="ru-RU"/>
        </w:rPr>
      </w:pPr>
      <w:r w:rsidRPr="00016E74">
        <w:rPr>
          <w:lang w:val="ru-RU"/>
        </w:rPr>
        <w:lastRenderedPageBreak/>
        <w:t>1. Клиентский опыт и карта пути</w:t>
      </w:r>
    </w:p>
    <w:p w14:paraId="5F2FBC31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Покупательский опыт включает восприятие и взаимодействие с предложением до приобретения, во время него и после. Исследования клиентского пути подчеркивают множество контактов и необходимость согласования разных функций и партнеров [2]. Для практики важно рассматривать не только экран покупки, но и получение, использование, помощь и завершение отношений.</w:t>
      </w:r>
    </w:p>
    <w:p w14:paraId="455391B8" w14:textId="77777777" w:rsidR="00207DEC" w:rsidRPr="00016E74" w:rsidRDefault="00000000">
      <w:pPr>
        <w:rPr>
          <w:lang w:val="ru-RU"/>
        </w:rPr>
      </w:pPr>
      <w:r w:rsidRPr="00016E74">
        <w:rPr>
          <w:b/>
          <w:lang w:val="ru-RU"/>
        </w:rPr>
        <w:t>Точка контакта</w:t>
      </w:r>
      <w:r w:rsidRPr="00016E74">
        <w:rPr>
          <w:lang w:val="ru-RU"/>
        </w:rPr>
        <w:t xml:space="preserve"> — конкретное взаимодействие: объявление, страница, разговор, выдача или уведомление. </w:t>
      </w:r>
      <w:r w:rsidRPr="00016E74">
        <w:rPr>
          <w:b/>
          <w:lang w:val="ru-RU"/>
        </w:rPr>
        <w:t>Путь клиента</w:t>
      </w:r>
      <w:r w:rsidRPr="00016E74">
        <w:rPr>
          <w:lang w:val="ru-RU"/>
        </w:rPr>
        <w:t xml:space="preserve"> связывает контакты вокруг задачи. Он не совпадает с воронкой: человек способен возвращаться к сравнению, переходить между каналами и решать вопрос с помощью других людей.</w:t>
      </w:r>
    </w:p>
    <w:p w14:paraId="320A2B98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Как строить карту</w:t>
      </w:r>
    </w:p>
    <w:p w14:paraId="4B372156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Начните с одного сценария, например «выбрать и получить подходящий товар к определенному дню». Для каждого этапа укажите действие клиента, вопрос, канал, доступные данные, затруднение и ожидаемый результат. Если источник отсутствует, записывайте гипотезу. Карта, заполненная только воображаемыми эмоциями команды, не является исследованием.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3402"/>
        <w:gridCol w:w="3855"/>
      </w:tblGrid>
      <w:tr w:rsidR="00207DEC" w14:paraId="16FCB6A9" w14:textId="77777777">
        <w:trPr>
          <w:cantSplit/>
          <w:tblHeader/>
          <w:jc w:val="center"/>
        </w:trPr>
        <w:tc>
          <w:tcPr>
            <w:tcW w:w="2154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D06C626" w14:textId="77777777" w:rsidR="00207DEC" w:rsidRDefault="00000000">
            <w:pPr>
              <w:pStyle w:val="TableText"/>
            </w:pPr>
            <w:proofErr w:type="spellStart"/>
            <w:r>
              <w:rPr>
                <w:rFonts w:eastAsia="Arial" w:cs="Arial"/>
                <w:b/>
                <w:color w:val="FFFFFF"/>
              </w:rPr>
              <w:t>Этап</w:t>
            </w:r>
            <w:proofErr w:type="spellEnd"/>
          </w:p>
        </w:tc>
        <w:tc>
          <w:tcPr>
            <w:tcW w:w="3402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7EC547B" w14:textId="77777777" w:rsidR="00207DEC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Вопрос клиента</w:t>
            </w:r>
          </w:p>
        </w:tc>
        <w:tc>
          <w:tcPr>
            <w:tcW w:w="3855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071C0C3" w14:textId="77777777" w:rsidR="00207DEC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Что нужно проверить</w:t>
            </w:r>
          </w:p>
        </w:tc>
      </w:tr>
      <w:tr w:rsidR="00207DEC" w14:paraId="6B488C9E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7F81F3F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Поиск</w:t>
            </w:r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4D3BA63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Подходит ли предложение?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9A21D3D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Понятность категории и параметров</w:t>
            </w:r>
          </w:p>
        </w:tc>
      </w:tr>
      <w:tr w:rsidR="00207DEC" w14:paraId="24410844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94772F9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Сравнение</w:t>
            </w:r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51291C0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Какие условия различаются?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46E3DAD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Сопоставимость информации</w:t>
            </w:r>
          </w:p>
        </w:tc>
      </w:tr>
      <w:tr w:rsidR="00207DEC" w14:paraId="25DE9E4A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DE6DA30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Заказ</w:t>
            </w:r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C4D5A33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Что произойдет после подтверждения?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E8A2C9F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Полная стоимость и обязательства</w:t>
            </w:r>
          </w:p>
        </w:tc>
      </w:tr>
      <w:tr w:rsidR="00207DEC" w14:paraId="28BAB2C8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86B3E25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Получение</w:t>
            </w:r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53BF34B" w14:textId="77777777" w:rsidR="00207DEC" w:rsidRPr="00016E74" w:rsidRDefault="00000000">
            <w:pPr>
              <w:pStyle w:val="TableText"/>
              <w:rPr>
                <w:lang w:val="ru-RU"/>
              </w:rPr>
            </w:pPr>
            <w:r w:rsidRPr="00016E74">
              <w:rPr>
                <w:rFonts w:eastAsia="Arial" w:cs="Arial"/>
                <w:color w:val="243B48"/>
                <w:lang w:val="ru-RU"/>
              </w:rPr>
              <w:t>Готов ли заказ и куда идти?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7F18CFE" w14:textId="77777777" w:rsidR="00207DEC" w:rsidRDefault="00000000">
            <w:pPr>
              <w:pStyle w:val="TableText"/>
            </w:pPr>
            <w:proofErr w:type="spellStart"/>
            <w:r>
              <w:rPr>
                <w:rFonts w:eastAsia="Arial" w:cs="Arial"/>
                <w:color w:val="243B48"/>
              </w:rPr>
              <w:t>Актуальность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статуса</w:t>
            </w:r>
            <w:proofErr w:type="spellEnd"/>
            <w:r>
              <w:rPr>
                <w:rFonts w:eastAsia="Arial" w:cs="Arial"/>
                <w:color w:val="243B48"/>
              </w:rPr>
              <w:t xml:space="preserve"> и </w:t>
            </w:r>
            <w:proofErr w:type="spellStart"/>
            <w:r>
              <w:rPr>
                <w:rFonts w:eastAsia="Arial" w:cs="Arial"/>
                <w:color w:val="243B48"/>
              </w:rPr>
              <w:t>навигация</w:t>
            </w:r>
            <w:proofErr w:type="spellEnd"/>
          </w:p>
        </w:tc>
      </w:tr>
      <w:tr w:rsidR="00207DEC" w14:paraId="628CAA52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D697993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Использование</w:t>
            </w:r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269CAD9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Как достичь результата?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F97EDDA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Инструкция и доступность помощи</w:t>
            </w:r>
          </w:p>
        </w:tc>
      </w:tr>
    </w:tbl>
    <w:p w14:paraId="496EFBBB" w14:textId="77777777" w:rsidR="00207DEC" w:rsidRDefault="00207DEC">
      <w:pPr>
        <w:spacing w:after="0"/>
      </w:pPr>
    </w:p>
    <w:p w14:paraId="41BC1D02" w14:textId="77777777" w:rsidR="00207DEC" w:rsidRDefault="00000000">
      <w:pPr>
        <w:pStyle w:val="21"/>
      </w:pPr>
      <w:r>
        <w:t>Момент значимого затруднения</w:t>
      </w:r>
    </w:p>
    <w:p w14:paraId="68B1BB07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Не каждый контакт одинаково влияет на выполнение задачи. Ошибка в адресе выдачи может сорвать получение, даже если остальные материалы привлекательны. Приоритет определяется последствиями и распространенностью, а не только яркостью жалобы. Важно также учитывать людей, которые не смогли завершить путь и поэтому не попали в опрос после покупки.</w:t>
      </w:r>
    </w:p>
    <w:p w14:paraId="0560EB91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Карта должна вести к решению: какой переход меняется, кто отвечает, какие данные нужны и как будет проверен результат. Она не является самоцелью или декоративной схемой для презентации. Если после ее создания неясно, что делать иначе, необходимо уточнить задачу и основания выделенных проблем.</w:t>
      </w:r>
    </w:p>
    <w:p w14:paraId="7239BBFD" w14:textId="77777777" w:rsidR="00207DEC" w:rsidRPr="00016E74" w:rsidRDefault="00000000">
      <w:pPr>
        <w:pStyle w:val="1"/>
        <w:pageBreakBefore/>
        <w:rPr>
          <w:lang w:val="ru-RU"/>
        </w:rPr>
      </w:pPr>
      <w:r w:rsidRPr="00016E74">
        <w:rPr>
          <w:lang w:val="ru-RU"/>
        </w:rPr>
        <w:lastRenderedPageBreak/>
        <w:t>2. Розничная среда и выполнение покупательской задачи</w:t>
      </w:r>
    </w:p>
    <w:p w14:paraId="2BEDE075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Розничный посредник организует доступ к предложению и взаимодействие с конечным покупателем [1]. В магазине и цифровой среде эта функция включает навигацию, наличие, сопоставление, получение и помощь. Поэтому торговое пространство следует анализировать через действия человека, а не только привлекательность оформления.</w:t>
      </w:r>
    </w:p>
    <w:p w14:paraId="5FC8B29B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В физическом магазине важны понятные обозначения, размещение связанных товаров, возможность осмотра, доступность информации и организация очереди. В цифровом — поиск, фильтры, карточки, скорость выполнения и ясная обратная связь. Принцип общий: потребитель должен понимать, где находится, какие варианты доступны и что произойдет после действия.</w:t>
      </w:r>
    </w:p>
    <w:p w14:paraId="3178D6CD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Атмосфера и задача</w:t>
      </w:r>
    </w:p>
    <w:p w14:paraId="03D53EEF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Музыка, свет, цвет и оформление могут участвовать в опыте, но нельзя приписывать им универсальное влияние на покупки без проверки. Для одной ситуации важна спокойная подробная консультация, для другой — быстрый поиск нужного. Среда должна соответствовать сценарию, а не следовать общему правилу «сделать как можно больше стимулов».</w:t>
      </w:r>
    </w:p>
    <w:p w14:paraId="26DBFCBD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Навигация и ассортимент</w:t>
      </w:r>
    </w:p>
    <w:p w14:paraId="607BB50D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Категории должны быть понятны аудитории. Внутренние названия производителя не всегда совпадают с языком покупателя. Полезно проверить, как человек ищет товар и какие признаки использует. Если нужное находится только после объяснения сотрудника, это может указывать на проблему структуры, а не на отсутствие интереса.</w:t>
      </w:r>
    </w:p>
    <w:p w14:paraId="04DD9E20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Фильтры помогают применять обязательные ограничения, но должны сохранять корректность данных. Нельзя показывать товар как совместимый, если параметр неизвестен. Пустая выдача требует ясного объяснения: нет наличия, слишком строгие условия или ошибка поиска. Иначе потребитель не понимает, как продолжить.</w:t>
      </w:r>
    </w:p>
    <w:p w14:paraId="4507E267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Доступность</w:t>
      </w:r>
    </w:p>
    <w:p w14:paraId="5A856CC6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Доступность включает возможность прочитать, понять и выполнить действие в разных условиях. Крупный текст не решает проблему непонятного термина, а визуальная подсказка не должна быть единственным способом сообщения существенного условия. Для дистанционного взаимодействия полезны текстовые альтернативы, ясные подписи и возможность получить помощь.</w:t>
      </w:r>
    </w:p>
    <w:p w14:paraId="4BAABC39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Управленческий вывод — проверять среду на конкретных задачах. Время, ошибки, успешность и необходимые подсказки показывают, насколько дизайн поддерживает действие. Субъективная привлекательность дополняет, но не заменяет эти наблюдения.</w:t>
      </w:r>
    </w:p>
    <w:p w14:paraId="7003BDCE" w14:textId="77777777" w:rsidR="00207DEC" w:rsidRPr="00016E74" w:rsidRDefault="00000000">
      <w:pPr>
        <w:pStyle w:val="1"/>
        <w:pageBreakBefore/>
        <w:rPr>
          <w:lang w:val="ru-RU"/>
        </w:rPr>
      </w:pPr>
      <w:r w:rsidRPr="00016E74">
        <w:rPr>
          <w:lang w:val="ru-RU"/>
        </w:rPr>
        <w:lastRenderedPageBreak/>
        <w:t>3. От нескольких каналов к согласованному пути</w:t>
      </w:r>
    </w:p>
    <w:p w14:paraId="5A9585A4" w14:textId="77777777" w:rsidR="00207DEC" w:rsidRPr="00016E74" w:rsidRDefault="00000000">
      <w:pPr>
        <w:rPr>
          <w:lang w:val="ru-RU"/>
        </w:rPr>
      </w:pPr>
      <w:r w:rsidRPr="00016E74">
        <w:rPr>
          <w:b/>
          <w:lang w:val="ru-RU"/>
        </w:rPr>
        <w:t>Многоканальность</w:t>
      </w:r>
      <w:r w:rsidRPr="00016E74">
        <w:rPr>
          <w:lang w:val="ru-RU"/>
        </w:rPr>
        <w:t xml:space="preserve"> означает наличие нескольких способов контакта. </w:t>
      </w:r>
      <w:proofErr w:type="spellStart"/>
      <w:r w:rsidRPr="00016E74">
        <w:rPr>
          <w:b/>
          <w:lang w:val="ru-RU"/>
        </w:rPr>
        <w:t>Омниканальность</w:t>
      </w:r>
      <w:proofErr w:type="spellEnd"/>
      <w:r w:rsidRPr="00016E74">
        <w:rPr>
          <w:lang w:val="ru-RU"/>
        </w:rPr>
        <w:t xml:space="preserve"> в учебной рамке предполагает согласованность опыта и данных при переходах между ними. Само присутствие сайта, приложения, магазина и телефона не делает систему </w:t>
      </w:r>
      <w:proofErr w:type="spellStart"/>
      <w:r w:rsidRPr="00016E74">
        <w:rPr>
          <w:lang w:val="ru-RU"/>
        </w:rPr>
        <w:t>омниканальной</w:t>
      </w:r>
      <w:proofErr w:type="spellEnd"/>
      <w:r w:rsidRPr="00016E74">
        <w:rPr>
          <w:lang w:val="ru-RU"/>
        </w:rPr>
        <w:t>. Важно, сохраняются ли условия, статус и контекст задачи.</w:t>
      </w:r>
    </w:p>
    <w:p w14:paraId="3534BD85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Типичный переход: человек начал сравнение на сайте, уточнил вопрос в чате и завершил покупку в магазине. Если ему приходится заново объяснять проблему или он получает противоречащие цены и сроки, каналы работают раздельно. Иногда различия условий допустимы, но они должны быть ясно обозначены до решения.</w:t>
      </w:r>
    </w:p>
    <w:p w14:paraId="43576218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Что нужно согласовать</w:t>
      </w:r>
    </w:p>
    <w:p w14:paraId="0A5B1734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Ключевые элементы — идентификация заказа, актуальное наличие, состав предложения, цена, статус исполнения и история обращения в необходимых пределах. При этом интеграция не означает сбор максимального количества персональных данных. Нужна только информация, действительно необходимая для продолжения задачи и используемая на допустимом основании.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3402"/>
        <w:gridCol w:w="3855"/>
      </w:tblGrid>
      <w:tr w:rsidR="00207DEC" w14:paraId="254E8ED8" w14:textId="77777777">
        <w:trPr>
          <w:cantSplit/>
          <w:tblHeader/>
          <w:jc w:val="center"/>
        </w:trPr>
        <w:tc>
          <w:tcPr>
            <w:tcW w:w="2154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395C941" w14:textId="77777777" w:rsidR="00207DEC" w:rsidRDefault="00000000">
            <w:pPr>
              <w:pStyle w:val="TableText"/>
            </w:pPr>
            <w:proofErr w:type="spellStart"/>
            <w:r>
              <w:rPr>
                <w:rFonts w:eastAsia="Arial" w:cs="Arial"/>
                <w:b/>
                <w:color w:val="FFFFFF"/>
              </w:rPr>
              <w:t>Переход</w:t>
            </w:r>
            <w:proofErr w:type="spellEnd"/>
          </w:p>
        </w:tc>
        <w:tc>
          <w:tcPr>
            <w:tcW w:w="3402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456B8A1" w14:textId="77777777" w:rsidR="00207DEC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Возможный разрыв</w:t>
            </w:r>
          </w:p>
        </w:tc>
        <w:tc>
          <w:tcPr>
            <w:tcW w:w="3855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DF5AF30" w14:textId="77777777" w:rsidR="00207DEC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Проектное решение</w:t>
            </w:r>
          </w:p>
        </w:tc>
      </w:tr>
      <w:tr w:rsidR="00207DEC" w:rsidRPr="00016E74" w14:paraId="7624C9A6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1CAB61B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Сайт → магазин</w:t>
            </w:r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8B90824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Наличие не совпадает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D7A4138" w14:textId="77777777" w:rsidR="00207DEC" w:rsidRPr="00016E74" w:rsidRDefault="00000000">
            <w:pPr>
              <w:pStyle w:val="TableText"/>
              <w:rPr>
                <w:lang w:val="ru-RU"/>
              </w:rPr>
            </w:pPr>
            <w:r w:rsidRPr="00016E74">
              <w:rPr>
                <w:rFonts w:eastAsia="Arial" w:cs="Arial"/>
                <w:color w:val="243B48"/>
                <w:lang w:val="ru-RU"/>
              </w:rPr>
              <w:t>Подтверждение и резервирование до уведомления</w:t>
            </w:r>
          </w:p>
        </w:tc>
      </w:tr>
      <w:tr w:rsidR="00207DEC" w14:paraId="3EF92CAB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C58CA01" w14:textId="77777777" w:rsidR="00207DEC" w:rsidRDefault="00000000">
            <w:pPr>
              <w:pStyle w:val="TableText"/>
            </w:pPr>
            <w:proofErr w:type="spellStart"/>
            <w:r>
              <w:rPr>
                <w:rFonts w:eastAsia="Arial" w:cs="Arial"/>
                <w:color w:val="243B48"/>
              </w:rPr>
              <w:t>Чат</w:t>
            </w:r>
            <w:proofErr w:type="spellEnd"/>
            <w:r>
              <w:rPr>
                <w:rFonts w:eastAsia="Arial" w:cs="Arial"/>
                <w:color w:val="243B48"/>
              </w:rPr>
              <w:t xml:space="preserve"> → </w:t>
            </w:r>
            <w:proofErr w:type="spellStart"/>
            <w:r>
              <w:rPr>
                <w:rFonts w:eastAsia="Arial" w:cs="Arial"/>
                <w:color w:val="243B48"/>
              </w:rPr>
              <w:t>поддержка</w:t>
            </w:r>
            <w:proofErr w:type="spellEnd"/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54A8D5C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Теряется содержание вопроса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81DEC25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Передача необходимого контекста обращения</w:t>
            </w:r>
          </w:p>
        </w:tc>
      </w:tr>
      <w:tr w:rsidR="00207DEC" w14:paraId="429F3283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833852B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Заказ → выдача</w:t>
            </w:r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B88B5C9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Неясно, готов ли комплект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6B2C0E6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Статус после фактической проверки</w:t>
            </w:r>
          </w:p>
        </w:tc>
      </w:tr>
      <w:tr w:rsidR="00207DEC" w14:paraId="50514E87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061A846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Покупка → возврат</w:t>
            </w:r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D8179B7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Разные инструкции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B275E17" w14:textId="77777777" w:rsidR="00207DEC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Единое понятное описание процедуры</w:t>
            </w:r>
          </w:p>
        </w:tc>
      </w:tr>
    </w:tbl>
    <w:p w14:paraId="5A3E7765" w14:textId="77777777" w:rsidR="00207DEC" w:rsidRDefault="00207DEC">
      <w:pPr>
        <w:spacing w:after="0"/>
      </w:pPr>
    </w:p>
    <w:p w14:paraId="29773C2D" w14:textId="77777777" w:rsidR="00207DEC" w:rsidRDefault="00000000">
      <w:pPr>
        <w:pStyle w:val="21"/>
      </w:pPr>
      <w:r>
        <w:t>Цена интеграции</w:t>
      </w:r>
    </w:p>
    <w:p w14:paraId="5E4C660F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Согласование требует процессов, ответственности и технических ресурсов. Нельзя обещать единый опыт, если системы не способны обновлять статус вовремя. Для небольшой компании может быть разумнее ограничить число каналов и надежно обслуживать выбранные переходы, чем создавать новые точки контакта без поддержки.</w:t>
      </w:r>
    </w:p>
    <w:p w14:paraId="33F433E1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 xml:space="preserve">Проверка </w:t>
      </w:r>
      <w:proofErr w:type="spellStart"/>
      <w:r w:rsidRPr="00016E74">
        <w:rPr>
          <w:lang w:val="ru-RU"/>
        </w:rPr>
        <w:t>омниканального</w:t>
      </w:r>
      <w:proofErr w:type="spellEnd"/>
      <w:r w:rsidRPr="00016E74">
        <w:rPr>
          <w:lang w:val="ru-RU"/>
        </w:rPr>
        <w:t xml:space="preserve"> сценария</w:t>
      </w:r>
    </w:p>
    <w:p w14:paraId="3A76FDD4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Тест должен проходить весь путь, включая смену канала. Проверяют, нужно ли повторно вводить сведения, понимает ли сотрудник статус и совпадают ли условия. Отдельный тест сайта может не обнаружить проблему выдачи.</w:t>
      </w:r>
    </w:p>
    <w:p w14:paraId="01F4859C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Результат оценивается по успешности полной задачи, числу повторных обращений, ошибкам и затратам усилий. Рост активности одного канала не обязательно означает улучшение: часть клиентов могла перейти туда из другого без дополнительной ценности. Поэтому показатели должны отражать общий опыт, а не конкуренцию подразделений за собственные цифры.</w:t>
      </w:r>
    </w:p>
    <w:p w14:paraId="1CB6721D" w14:textId="77777777" w:rsidR="00207DEC" w:rsidRPr="00016E74" w:rsidRDefault="00000000">
      <w:pPr>
        <w:pStyle w:val="1"/>
        <w:pageBreakBefore/>
        <w:rPr>
          <w:lang w:val="ru-RU"/>
        </w:rPr>
      </w:pPr>
      <w:r w:rsidRPr="00016E74">
        <w:rPr>
          <w:lang w:val="ru-RU"/>
        </w:rPr>
        <w:lastRenderedPageBreak/>
        <w:t>4. Связь опыта с процессами обслуживания</w:t>
      </w:r>
    </w:p>
    <w:p w14:paraId="1E447E1C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Клиент описывает затруднение языком результата: «заказ не готов», «ответы противоречат», «не могу вернуть». Организация должна связать его с процессом: кто принимает решение, какие данные используются, где происходит передача и какой контроль предусмотрен. Без этого коммуникационная доработка может только временно скрыть проблему.</w:t>
      </w:r>
    </w:p>
    <w:p w14:paraId="44A6ABCC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В модели разрывов качества обслуживания различаются расхождения между ожиданиями, пониманием компании, стандартами, исполнением и коммуникацией [3]. Для курса это основание искать причину не только в сотруднике последнего контакта. Ошибка может возникать из-за неверного обещания, недостаточных ресурсов или отсутствия общего правила.</w:t>
      </w:r>
    </w:p>
    <w:p w14:paraId="491990B8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Учебная схема обслуживания</w:t>
      </w:r>
    </w:p>
    <w:p w14:paraId="74D1B3FD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Рядом с действиями клиента полезно показать видимые действия сотрудника или интерфейса, внутренние операции и необходимые данные. Такая схема позволяет увидеть зависимость: уведомление о готовности должно опираться на завершенную комплектацию, а не только на получение заказа системой. Это авторский рабочий формат для анализа, а не обязательный стандарт документации.</w:t>
      </w:r>
    </w:p>
    <w:p w14:paraId="2BF2E640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Ответственность и передача</w:t>
      </w:r>
    </w:p>
    <w:p w14:paraId="2077EA1D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Для каждого перехода назначают владельца результата. Исполнитель и ответственный за правило могут быть разными. Например, сотрудник пункта выдачи не способен исправить алгоритм уведомления, но должен иметь порядок регистрации и передачи проблемы. Нельзя требовать от него «быть более клиентоориентированным», не меняя причин ошибки.</w:t>
      </w:r>
    </w:p>
    <w:p w14:paraId="335D0B3D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Стандарт описывает наблюдаемое действие и условие. «Быстро отвечать» слишком неопределенно. Более полезно задать согласованное окно ответа, содержание подтверждения и порядок эскалации. Числовое значение выбирают с учетом реальной мощности, а не как универсальную норму для всех сервисов.</w:t>
      </w:r>
    </w:p>
    <w:p w14:paraId="1384FF8D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Восстановление после сбоя</w:t>
      </w:r>
    </w:p>
    <w:p w14:paraId="704C7646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Если обещание нарушено, важно сообщить установленный факт, доступные варианты и следующий шаг. Объяснение причины не заменяет помощи. При этом нельзя обещать компенсацию или срок без полномочий. Текст должен отражать действительное решение процесса, а не только желаемое впечатление.</w:t>
      </w:r>
    </w:p>
    <w:p w14:paraId="40624228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Управленческий результат — изменение причины и проверка исполнения. Новая инструкция, обучение и система статусов должны оцениваться по тому, уменьшились ли реальные ошибки и смогли ли люди завершить задачу. Публикация нового стандарта сама по себе не доказывает улучшения опыта.</w:t>
      </w:r>
    </w:p>
    <w:p w14:paraId="1490D392" w14:textId="77777777" w:rsidR="00207DEC" w:rsidRPr="00016E74" w:rsidRDefault="00000000">
      <w:pPr>
        <w:pStyle w:val="1"/>
        <w:pageBreakBefore/>
        <w:rPr>
          <w:lang w:val="ru-RU"/>
        </w:rPr>
      </w:pPr>
      <w:r w:rsidRPr="00016E74">
        <w:rPr>
          <w:lang w:val="ru-RU"/>
        </w:rPr>
        <w:lastRenderedPageBreak/>
        <w:t>5. Метрики опыта, усилий и качества</w:t>
      </w:r>
    </w:p>
    <w:p w14:paraId="1311561E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Для оценки пути выбирают показатели, связанные с задачей: долю успешного выполнения, точность заказа, получение в согласованный срок, число повторных обращений и необходимые усилия. Каждый показатель требует ясного определения. «Заказ обработан» может означать регистрацию, сборку или фактическую выдачу — это разные события.</w:t>
      </w:r>
    </w:p>
    <w:p w14:paraId="1B217AB8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Время и качество</w:t>
      </w:r>
    </w:p>
    <w:p w14:paraId="6E6D92B3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Среднее время иногда скрывает небольшую группу с очень долгим ожиданием. Поэтому полезно смотреть распределение и долю нарушений согласованного условия. Быстрое обслуживание не является успехом, если клиент получил неправильный товар. Метрики скорости дополняются точностью и решением задачи.</w:t>
      </w:r>
    </w:p>
    <w:p w14:paraId="7CA1BD28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Вопрос об усилиях должен относиться к конкретному эпизоду: насколько легко было найти пункт выдачи, изменить заказ или получить ответ. Общая оценка «все удобно» хуже показывает место доработки. При этом субъективный ответ не заменяет наблюдение: человек может оценить путь положительно, хотя использовал несколько обходных способов.</w:t>
      </w:r>
    </w:p>
    <w:p w14:paraId="63E2A988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Единица и знаменатель</w:t>
      </w:r>
    </w:p>
    <w:p w14:paraId="098EA5F2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Если измеряется готовность заказов к обещанному времени, знаменатель — заказы, для которых это время наступило в периоде и применим критерий. Нельзя делить число готовых заказов на все заявки, включая будущие. Для успешного пути учитывают тех, кто начал релевантную задачу, а не только завершивших покупку.</w:t>
      </w:r>
    </w:p>
    <w:p w14:paraId="4080D8BB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Приоритет улучшений</w:t>
      </w:r>
    </w:p>
    <w:p w14:paraId="2A075108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Проблемы сопоставляют по последствиям, частоте, уверенности в данных и возможности исправления. Не следует автоматически выбирать самый эмоциональный отзыв или самую дешевую доработку. Ошибка, затрагивающая небольшую группу, может быть существенной, если полностью блокирует доступ.</w:t>
      </w:r>
    </w:p>
    <w:p w14:paraId="75BC643D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После изменения нужна повторная проверка при сопоставимых условиях. Если одновременно выросла нагрузка или изменился ассортимент, это фиксируется. Улучшение одного участка может перенести затруднение на следующий: ускоренная комплектация без проверки способна увеличить ошибки выдачи.</w:t>
      </w:r>
    </w:p>
    <w:p w14:paraId="575E6B2D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Практический вывод — оценивать целостную задачу и защитные показатели. Хороший клиентский опыт складывается из согласованности, доступности и выполненного обещания. Он не измеряется одной оценкой настроения и не сводится к эффектному оформлению карты пути.</w:t>
      </w:r>
    </w:p>
    <w:p w14:paraId="5C42704B" w14:textId="77777777" w:rsidR="00207DEC" w:rsidRPr="00016E74" w:rsidRDefault="00000000">
      <w:pPr>
        <w:pStyle w:val="1"/>
        <w:pageBreakBefore/>
        <w:rPr>
          <w:lang w:val="ru-RU"/>
        </w:rPr>
      </w:pPr>
      <w:r w:rsidRPr="00016E74">
        <w:rPr>
          <w:lang w:val="ru-RU"/>
        </w:rPr>
        <w:lastRenderedPageBreak/>
        <w:t>6. Разобранный кейс: заказ готов, но не тот</w:t>
      </w:r>
    </w:p>
    <w:p w14:paraId="7BDACA01" w14:textId="77777777" w:rsidR="00207DEC" w:rsidRPr="00016E74" w:rsidRDefault="00000000">
      <w:pPr>
        <w:pStyle w:val="Small"/>
        <w:rPr>
          <w:lang w:val="ru-RU"/>
        </w:rPr>
      </w:pPr>
      <w:r w:rsidRPr="00016E74">
        <w:rPr>
          <w:lang w:val="ru-RU"/>
        </w:rPr>
        <w:t>Данные и организация кейса вымышлены.</w:t>
      </w:r>
    </w:p>
    <w:p w14:paraId="138483A0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В магазине «Точка» за неделю проверили 30 заказов самовывоза к обещанному времени. В 22 случаях правильный комплект был готов, в 2 был готов неверный комплект, в 6 заказ не собрали. Категории взаимоисключающие. Система считала готовыми все 24 собранных заказа и сообщала показатель 80%.</w:t>
      </w:r>
    </w:p>
    <w:p w14:paraId="5DBA3CF5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Различие показателей</w:t>
      </w:r>
    </w:p>
    <w:p w14:paraId="4CC166CF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Формальная готовность: 24 / 30 × 100 = 80%. Но готовность правильного комплекта: 22 / 30 × 100 ≈ 73,3%. Второй показатель ближе к задаче клиента. Если считать только факт сборки, ошибки состава исчезают из оценки качества.</w:t>
      </w:r>
    </w:p>
    <w:p w14:paraId="3291EAF1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Причина для проверки</w:t>
      </w:r>
    </w:p>
    <w:p w14:paraId="22EEEDEE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Аудит выявил, что уведомление отправляется после отметки «собрано», а проверка состава выполняется позже. Это установленное в учебном кейсе устройство процесса, но еще не доказательство, что оно объясняет все ошибки. Нужно проверить данные и другие возможные причины, включая маркировку вариантов.</w:t>
      </w:r>
    </w:p>
    <w:p w14:paraId="432A76C9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Изменение процесса</w:t>
      </w:r>
    </w:p>
    <w:p w14:paraId="4F1BE71E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Команда вводит проверку состава до уведомления, уточняет статус и назначает ответственного за исключения. На странице заказа ясно показано, когда можно приезжать. Сотрудник получает способ сообщить о задержке без обещания неподтвержденного срока.</w:t>
      </w:r>
    </w:p>
    <w:p w14:paraId="7C7E4B87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Повторный период</w:t>
      </w:r>
    </w:p>
    <w:p w14:paraId="14246DE3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В следующей проверке 30 заказов: 28 правильных готовы вовремя, 1 неверный собран, 1 не готов. Доля правильной готовности — около 93,3%, наблюдаемая разница — 20 процентных пунктов. Это сравнение двух небольших периодов, а не доказанный чистый эффект изменения: нагрузка и состав заказов могли различаться.</w:t>
      </w:r>
    </w:p>
    <w:p w14:paraId="54984A0C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Решение</w:t>
      </w:r>
    </w:p>
    <w:p w14:paraId="715D8B1E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Изменение продолжает проверяться вместе со временем ожидания, ошибками и повторными обращениями. Нельзя объявлять восстановленную лояльность: она не измерялась. Полезный результат кейса — уточнение показателя и связи между статусом в системе и реальным клиентским опытом.</w:t>
      </w:r>
    </w:p>
    <w:p w14:paraId="2CAEF928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 xml:space="preserve">Кейс показывает, что </w:t>
      </w:r>
      <w:proofErr w:type="spellStart"/>
      <w:r w:rsidRPr="00016E74">
        <w:rPr>
          <w:lang w:val="ru-RU"/>
        </w:rPr>
        <w:t>омниканальная</w:t>
      </w:r>
      <w:proofErr w:type="spellEnd"/>
      <w:r w:rsidRPr="00016E74">
        <w:rPr>
          <w:lang w:val="ru-RU"/>
        </w:rPr>
        <w:t xml:space="preserve"> проблема часто находится между событиями учета. Клиенту нужен правильный заказ в согласованное время, а не благоприятная внутренняя отметка.</w:t>
      </w:r>
    </w:p>
    <w:p w14:paraId="4F9945BA" w14:textId="77777777" w:rsidR="00207DEC" w:rsidRPr="00016E74" w:rsidRDefault="00000000">
      <w:pPr>
        <w:pStyle w:val="1"/>
        <w:pageBreakBefore/>
        <w:rPr>
          <w:lang w:val="ru-RU"/>
        </w:rPr>
      </w:pPr>
      <w:r w:rsidRPr="00016E74">
        <w:rPr>
          <w:lang w:val="ru-RU"/>
        </w:rPr>
        <w:lastRenderedPageBreak/>
        <w:t>7. Самопроверка и самостоятельная работа</w:t>
      </w:r>
    </w:p>
    <w:p w14:paraId="4614D460" w14:textId="77777777" w:rsidR="00207DEC" w:rsidRPr="00016E74" w:rsidRDefault="00000000">
      <w:pPr>
        <w:pStyle w:val="Question"/>
        <w:rPr>
          <w:lang w:val="ru-RU"/>
        </w:rPr>
      </w:pPr>
      <w:r w:rsidRPr="00016E74">
        <w:rPr>
          <w:lang w:val="ru-RU"/>
        </w:rPr>
        <w:t>1. Чем карта пути отличается от внутренней инструкции?</w:t>
      </w:r>
    </w:p>
    <w:p w14:paraId="28243E9E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Ориентир: карта описывает задачу и контакты с позиции клиента, инструкция — действия организации. Для улучшения их нужно связать, сохранив различие перспектив.</w:t>
      </w:r>
    </w:p>
    <w:p w14:paraId="118301C7" w14:textId="77777777" w:rsidR="00207DEC" w:rsidRPr="00016E74" w:rsidRDefault="00000000">
      <w:pPr>
        <w:pStyle w:val="Question"/>
        <w:rPr>
          <w:lang w:val="ru-RU"/>
        </w:rPr>
      </w:pPr>
      <w:r w:rsidRPr="00016E74">
        <w:rPr>
          <w:lang w:val="ru-RU"/>
        </w:rPr>
        <w:t xml:space="preserve">2. Почему несколько каналов не гарантируют </w:t>
      </w:r>
      <w:proofErr w:type="spellStart"/>
      <w:r w:rsidRPr="00016E74">
        <w:rPr>
          <w:lang w:val="ru-RU"/>
        </w:rPr>
        <w:t>омниканальность</w:t>
      </w:r>
      <w:proofErr w:type="spellEnd"/>
      <w:r w:rsidRPr="00016E74">
        <w:rPr>
          <w:lang w:val="ru-RU"/>
        </w:rPr>
        <w:t>?</w:t>
      </w:r>
    </w:p>
    <w:p w14:paraId="69E7E29E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Ориентир: необходимы согласованные условия, статусы и передача контекста. Изолированные удобные каналы могут создавать неудобные переходы.</w:t>
      </w:r>
    </w:p>
    <w:p w14:paraId="7FEDB17E" w14:textId="77777777" w:rsidR="00207DEC" w:rsidRPr="00016E74" w:rsidRDefault="00000000">
      <w:pPr>
        <w:pStyle w:val="Question"/>
        <w:rPr>
          <w:lang w:val="ru-RU"/>
        </w:rPr>
      </w:pPr>
      <w:r w:rsidRPr="00016E74">
        <w:rPr>
          <w:lang w:val="ru-RU"/>
        </w:rPr>
        <w:t>3. Можно ли заполнять эмоции на карте по мнению команды?</w:t>
      </w:r>
    </w:p>
    <w:p w14:paraId="5CBF36C4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Ориентир: можно только как обозначенные гипотезы. Для утверждений об опыте нужны данные участников и описание источника.</w:t>
      </w:r>
    </w:p>
    <w:p w14:paraId="2EA4F11E" w14:textId="77777777" w:rsidR="00207DEC" w:rsidRPr="00016E74" w:rsidRDefault="00000000">
      <w:pPr>
        <w:pStyle w:val="Question"/>
        <w:rPr>
          <w:lang w:val="ru-RU"/>
        </w:rPr>
      </w:pPr>
      <w:r w:rsidRPr="00016E74">
        <w:rPr>
          <w:lang w:val="ru-RU"/>
        </w:rPr>
        <w:t>4. Почему среднее время не является достаточной метрикой?</w:t>
      </w:r>
    </w:p>
    <w:p w14:paraId="08C2E5AB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Ориентир: оно скрывает разброс и не показывает точность результата. Быстрый неверный заказ не решает задачу.</w:t>
      </w:r>
    </w:p>
    <w:p w14:paraId="37F17576" w14:textId="77777777" w:rsidR="00207DEC" w:rsidRPr="00016E74" w:rsidRDefault="00000000">
      <w:pPr>
        <w:pStyle w:val="Question"/>
        <w:rPr>
          <w:lang w:val="ru-RU"/>
        </w:rPr>
      </w:pPr>
      <w:r w:rsidRPr="00016E74">
        <w:rPr>
          <w:lang w:val="ru-RU"/>
        </w:rPr>
        <w:t>5. Как понять, что изменение стандарта действительно работает?</w:t>
      </w:r>
    </w:p>
    <w:p w14:paraId="45340D61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Ориентир: проверить фактическое исполнение, ошибки и успешность клиентской задачи. Само наличие документа или обучение сотрудников не доказывает улучшения.</w:t>
      </w:r>
    </w:p>
    <w:p w14:paraId="78F21016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Самостоятельное задание</w:t>
      </w:r>
    </w:p>
    <w:p w14:paraId="796011A0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Постройте карту из пяти этапов для вымышленного заказа с самовывозом. На каждом этапе укажите действие, вопрос клиента, канал, возможный барьер и источник данных. Выберите один разрыв между каналами и свяжите его с внутренним процессом. Предложите изменение, ответственного и три показателя проверки.</w:t>
      </w:r>
    </w:p>
    <w:p w14:paraId="75912E38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Объем — 700–900 слов, таблица включается. Все непроверенные ожидания и эмоции обозначьте как гипотезы. Реальное посещение магазина или сбор данных не требуется.</w:t>
      </w:r>
    </w:p>
    <w:p w14:paraId="5DA7075D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Критерии качества</w:t>
      </w:r>
    </w:p>
    <w:p w14:paraId="6BD25FB6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Карта задачи — 25%; анализ перехода и причины — 30%; реалистичность изменения — 25%; показатели и ограничения — 20%.</w:t>
      </w:r>
    </w:p>
    <w:p w14:paraId="00AEBCA9" w14:textId="77777777" w:rsidR="00207DEC" w:rsidRPr="00016E74" w:rsidRDefault="00000000">
      <w:pPr>
        <w:pStyle w:val="1"/>
        <w:pageBreakBefore/>
        <w:rPr>
          <w:lang w:val="ru-RU"/>
        </w:rPr>
      </w:pPr>
      <w:r w:rsidRPr="00016E74">
        <w:rPr>
          <w:lang w:val="ru-RU"/>
        </w:rPr>
        <w:lastRenderedPageBreak/>
        <w:t>8. Итоги и опорные понятия</w:t>
      </w:r>
    </w:p>
    <w:p w14:paraId="4A885677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 xml:space="preserve">Покупательский опыт формируется на всем пути: от поиска до использования и помощи. Его качество зависит от согласованности информации и процессов, а не только от оформления отдельных контактов. </w:t>
      </w:r>
      <w:proofErr w:type="spellStart"/>
      <w:r w:rsidRPr="00016E74">
        <w:rPr>
          <w:lang w:val="ru-RU"/>
        </w:rPr>
        <w:t>Омниканальность</w:t>
      </w:r>
      <w:proofErr w:type="spellEnd"/>
      <w:r w:rsidRPr="00016E74">
        <w:rPr>
          <w:lang w:val="ru-RU"/>
        </w:rPr>
        <w:t xml:space="preserve"> предполагает сохранение контекста и условий при переходах, а не максимальное количество площадок.</w:t>
      </w:r>
    </w:p>
    <w:p w14:paraId="6B6A007A" w14:textId="77777777" w:rsidR="00207DEC" w:rsidRPr="00016E74" w:rsidRDefault="00000000">
      <w:pPr>
        <w:rPr>
          <w:lang w:val="ru-RU"/>
        </w:rPr>
      </w:pPr>
      <w:r w:rsidRPr="00016E74">
        <w:rPr>
          <w:lang w:val="ru-RU"/>
        </w:rPr>
        <w:t>Карта пути полезна, когда опирается на данные и ведет к изменению конкретного процесса. Измерение должно отражать реальную задачу: правильное получение, успешное использование и доступную помощь. Внутренний статус, скорость и субъективная оценка дополняют, но не заменяют эти результаты.</w:t>
      </w:r>
    </w:p>
    <w:p w14:paraId="5CA1272E" w14:textId="77777777" w:rsidR="00207DEC" w:rsidRPr="00016E74" w:rsidRDefault="00000000">
      <w:pPr>
        <w:pStyle w:val="21"/>
        <w:rPr>
          <w:lang w:val="ru-RU"/>
        </w:rPr>
      </w:pPr>
      <w:r w:rsidRPr="00016E74">
        <w:rPr>
          <w:lang w:val="ru-RU"/>
        </w:rPr>
        <w:t>Мини-глоссарий</w:t>
      </w:r>
    </w:p>
    <w:p w14:paraId="2D68E80E" w14:textId="77777777" w:rsidR="00207DEC" w:rsidRPr="00016E74" w:rsidRDefault="00000000">
      <w:pPr>
        <w:rPr>
          <w:lang w:val="ru-RU"/>
        </w:rPr>
      </w:pPr>
      <w:r w:rsidRPr="00016E74">
        <w:rPr>
          <w:b/>
          <w:lang w:val="ru-RU"/>
        </w:rPr>
        <w:t>Клиентский опыт</w:t>
      </w:r>
      <w:r w:rsidRPr="00016E74">
        <w:rPr>
          <w:lang w:val="ru-RU"/>
        </w:rPr>
        <w:t xml:space="preserve"> — восприятие и результат взаимодействий с предложением на протяжении задачи.</w:t>
      </w:r>
    </w:p>
    <w:p w14:paraId="2C9B1A7C" w14:textId="77777777" w:rsidR="00207DEC" w:rsidRPr="00016E74" w:rsidRDefault="00000000">
      <w:pPr>
        <w:rPr>
          <w:lang w:val="ru-RU"/>
        </w:rPr>
      </w:pPr>
      <w:r w:rsidRPr="00016E74">
        <w:rPr>
          <w:b/>
          <w:lang w:val="ru-RU"/>
        </w:rPr>
        <w:t>Точка контакта</w:t>
      </w:r>
      <w:r w:rsidRPr="00016E74">
        <w:rPr>
          <w:lang w:val="ru-RU"/>
        </w:rPr>
        <w:t xml:space="preserve"> — отдельное взаимодействие клиента с информацией, сотрудником, продуктом или системой.</w:t>
      </w:r>
    </w:p>
    <w:p w14:paraId="5553BFC4" w14:textId="77777777" w:rsidR="00207DEC" w:rsidRPr="00016E74" w:rsidRDefault="00000000">
      <w:pPr>
        <w:rPr>
          <w:lang w:val="ru-RU"/>
        </w:rPr>
      </w:pPr>
      <w:r w:rsidRPr="00016E74">
        <w:rPr>
          <w:b/>
          <w:lang w:val="ru-RU"/>
        </w:rPr>
        <w:t>Карта пути</w:t>
      </w:r>
      <w:r w:rsidRPr="00016E74">
        <w:rPr>
          <w:lang w:val="ru-RU"/>
        </w:rPr>
        <w:t xml:space="preserve"> — структурированное описание действий, вопросов, контактов и затруднений клиента.</w:t>
      </w:r>
    </w:p>
    <w:p w14:paraId="08F0AF4D" w14:textId="77777777" w:rsidR="00207DEC" w:rsidRPr="00016E74" w:rsidRDefault="00000000">
      <w:pPr>
        <w:rPr>
          <w:lang w:val="ru-RU"/>
        </w:rPr>
      </w:pPr>
      <w:proofErr w:type="spellStart"/>
      <w:r w:rsidRPr="00016E74">
        <w:rPr>
          <w:b/>
          <w:lang w:val="ru-RU"/>
        </w:rPr>
        <w:t>Омниканальность</w:t>
      </w:r>
      <w:proofErr w:type="spellEnd"/>
      <w:r w:rsidRPr="00016E74">
        <w:rPr>
          <w:lang w:val="ru-RU"/>
        </w:rPr>
        <w:t xml:space="preserve"> — согласованность опыта и необходимых данных между каналами.</w:t>
      </w:r>
    </w:p>
    <w:p w14:paraId="1481E26F" w14:textId="77777777" w:rsidR="00207DEC" w:rsidRPr="00016E74" w:rsidRDefault="00000000">
      <w:pPr>
        <w:rPr>
          <w:lang w:val="ru-RU"/>
        </w:rPr>
      </w:pPr>
      <w:r w:rsidRPr="00016E74">
        <w:rPr>
          <w:b/>
          <w:lang w:val="ru-RU"/>
        </w:rPr>
        <w:t>Разрыв обслуживания</w:t>
      </w:r>
      <w:r w:rsidRPr="00016E74">
        <w:rPr>
          <w:lang w:val="ru-RU"/>
        </w:rPr>
        <w:t xml:space="preserve"> — несоответствие между ожиданием, правилом, исполнением или сообщением.</w:t>
      </w:r>
    </w:p>
    <w:p w14:paraId="55D87E69" w14:textId="77777777" w:rsidR="00207DEC" w:rsidRPr="00016E74" w:rsidRDefault="00000000">
      <w:pPr>
        <w:rPr>
          <w:lang w:val="ru-RU"/>
        </w:rPr>
      </w:pPr>
      <w:r w:rsidRPr="00016E74">
        <w:rPr>
          <w:b/>
          <w:lang w:val="ru-RU"/>
        </w:rPr>
        <w:t>Защитная метрика</w:t>
      </w:r>
      <w:r w:rsidRPr="00016E74">
        <w:rPr>
          <w:lang w:val="ru-RU"/>
        </w:rPr>
        <w:t xml:space="preserve"> — показатель, предотвращающий улучшение скорости или конверсии ценой ошибок и потери доступности.</w:t>
      </w:r>
    </w:p>
    <w:p w14:paraId="6D7663EC" w14:textId="77777777" w:rsidR="00207DEC" w:rsidRDefault="00000000">
      <w:pPr>
        <w:pStyle w:val="21"/>
      </w:pPr>
      <w:proofErr w:type="spellStart"/>
      <w:r>
        <w:t>Источники</w:t>
      </w:r>
      <w:proofErr w:type="spellEnd"/>
      <w:r>
        <w:t xml:space="preserve"> и </w:t>
      </w:r>
      <w:proofErr w:type="spellStart"/>
      <w:r>
        <w:t>дальнейшее</w:t>
      </w:r>
      <w:proofErr w:type="spellEnd"/>
      <w:r>
        <w:t xml:space="preserve"> </w:t>
      </w:r>
      <w:proofErr w:type="spellStart"/>
      <w:r>
        <w:t>чтение</w:t>
      </w:r>
      <w:proofErr w:type="spellEnd"/>
    </w:p>
    <w:p w14:paraId="71E45682" w14:textId="77777777" w:rsidR="00207DEC" w:rsidRDefault="00000000">
      <w:pPr>
        <w:pStyle w:val="Small"/>
        <w:keepNext/>
      </w:pPr>
      <w:r>
        <w:t>[1] Gomez Albrecht M., Green M., Hoffman L. Principles of Marketing. OpenStax, 2023. § 18.1: Retailing and the Role of Retailers in the Distribution Channel.</w:t>
      </w:r>
    </w:p>
    <w:p w14:paraId="5FD7AA24" w14:textId="77777777" w:rsidR="00207DEC" w:rsidRDefault="00000000">
      <w:pPr>
        <w:pStyle w:val="Small"/>
      </w:pPr>
      <w:hyperlink r:id="rId8">
        <w:proofErr w:type="spellStart"/>
        <w:r>
          <w:rPr>
            <w:color w:val="236C78"/>
            <w:u w:val="single"/>
          </w:rPr>
          <w:t>Открыть</w:t>
        </w:r>
        <w:proofErr w:type="spellEnd"/>
        <w:r>
          <w:rPr>
            <w:color w:val="236C78"/>
            <w:u w:val="single"/>
          </w:rPr>
          <w:t xml:space="preserve"> </w:t>
        </w:r>
        <w:proofErr w:type="spellStart"/>
        <w:r>
          <w:rPr>
            <w:color w:val="236C78"/>
            <w:u w:val="single"/>
          </w:rPr>
          <w:t>источник</w:t>
        </w:r>
        <w:proofErr w:type="spellEnd"/>
      </w:hyperlink>
    </w:p>
    <w:p w14:paraId="6FA71D16" w14:textId="77777777" w:rsidR="00207DEC" w:rsidRDefault="00000000">
      <w:pPr>
        <w:pStyle w:val="Small"/>
        <w:keepNext/>
      </w:pPr>
      <w:r>
        <w:t>[2] Lemon K. N., Verhoef P. C. Understanding Customer Experience Throughout the Customer Journey. Journal of Marketing. 2016. 80(6): 69–96. DOI: 10.1509/jm.15.0420.</w:t>
      </w:r>
    </w:p>
    <w:p w14:paraId="7913D86A" w14:textId="77777777" w:rsidR="00207DEC" w:rsidRDefault="00000000">
      <w:pPr>
        <w:pStyle w:val="Small"/>
      </w:pPr>
      <w:hyperlink r:id="rId9">
        <w:proofErr w:type="spellStart"/>
        <w:r>
          <w:rPr>
            <w:color w:val="236C78"/>
            <w:u w:val="single"/>
          </w:rPr>
          <w:t>Открыть</w:t>
        </w:r>
        <w:proofErr w:type="spellEnd"/>
        <w:r>
          <w:rPr>
            <w:color w:val="236C78"/>
            <w:u w:val="single"/>
          </w:rPr>
          <w:t xml:space="preserve"> </w:t>
        </w:r>
        <w:proofErr w:type="spellStart"/>
        <w:r>
          <w:rPr>
            <w:color w:val="236C78"/>
            <w:u w:val="single"/>
          </w:rPr>
          <w:t>источник</w:t>
        </w:r>
        <w:proofErr w:type="spellEnd"/>
      </w:hyperlink>
    </w:p>
    <w:p w14:paraId="09624B6E" w14:textId="77777777" w:rsidR="00207DEC" w:rsidRPr="00016E74" w:rsidRDefault="00000000">
      <w:pPr>
        <w:pStyle w:val="Small"/>
        <w:keepNext/>
        <w:rPr>
          <w:lang w:val="ru-RU"/>
        </w:rPr>
      </w:pPr>
      <w:r>
        <w:t>[3] Gomez Albrecht M., Green M., Hoffman L. Principles of Marketing. OpenStax</w:t>
      </w:r>
      <w:r w:rsidRPr="00016E74">
        <w:rPr>
          <w:lang w:val="ru-RU"/>
        </w:rPr>
        <w:t xml:space="preserve">, 2023. § 11.3: </w:t>
      </w:r>
      <w:r>
        <w:t>The</w:t>
      </w:r>
      <w:r w:rsidRPr="00016E74">
        <w:rPr>
          <w:lang w:val="ru-RU"/>
        </w:rPr>
        <w:t xml:space="preserve"> </w:t>
      </w:r>
      <w:r>
        <w:t>Gap</w:t>
      </w:r>
      <w:r w:rsidRPr="00016E74">
        <w:rPr>
          <w:lang w:val="ru-RU"/>
        </w:rPr>
        <w:t xml:space="preserve"> </w:t>
      </w:r>
      <w:r>
        <w:t>Model</w:t>
      </w:r>
      <w:r w:rsidRPr="00016E74">
        <w:rPr>
          <w:lang w:val="ru-RU"/>
        </w:rPr>
        <w:t xml:space="preserve"> </w:t>
      </w:r>
      <w:r>
        <w:t>of</w:t>
      </w:r>
      <w:r w:rsidRPr="00016E74">
        <w:rPr>
          <w:lang w:val="ru-RU"/>
        </w:rPr>
        <w:t xml:space="preserve"> </w:t>
      </w:r>
      <w:r>
        <w:t>Service</w:t>
      </w:r>
      <w:r w:rsidRPr="00016E74">
        <w:rPr>
          <w:lang w:val="ru-RU"/>
        </w:rPr>
        <w:t xml:space="preserve"> </w:t>
      </w:r>
      <w:r>
        <w:t>Quality</w:t>
      </w:r>
      <w:r w:rsidRPr="00016E74">
        <w:rPr>
          <w:lang w:val="ru-RU"/>
        </w:rPr>
        <w:t>.</w:t>
      </w:r>
    </w:p>
    <w:p w14:paraId="1AF46440" w14:textId="77777777" w:rsidR="00207DEC" w:rsidRPr="00016E74" w:rsidRDefault="00000000">
      <w:pPr>
        <w:pStyle w:val="Small"/>
        <w:rPr>
          <w:lang w:val="ru-RU"/>
        </w:rPr>
      </w:pPr>
      <w:hyperlink r:id="rId10">
        <w:r w:rsidRPr="00016E74">
          <w:rPr>
            <w:color w:val="236C78"/>
            <w:u w:val="single"/>
            <w:lang w:val="ru-RU"/>
          </w:rPr>
          <w:t>Открыть источник</w:t>
        </w:r>
      </w:hyperlink>
    </w:p>
    <w:p w14:paraId="59004836" w14:textId="5F61BBAA" w:rsidR="00207DEC" w:rsidRDefault="00207DEC"/>
    <w:sectPr w:rsidR="00207DEC" w:rsidSect="00034616">
      <w:headerReference w:type="default" r:id="rId11"/>
      <w:footerReference w:type="default" r:id="rId12"/>
      <w:pgSz w:w="11906" w:h="16838"/>
      <w:pgMar w:top="1049" w:right="1247" w:bottom="1020" w:left="1247" w:header="425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C6304" w14:textId="77777777" w:rsidR="00054833" w:rsidRDefault="00054833">
      <w:pPr>
        <w:spacing w:after="0" w:line="240" w:lineRule="auto"/>
      </w:pPr>
      <w:r>
        <w:separator/>
      </w:r>
    </w:p>
  </w:endnote>
  <w:endnote w:type="continuationSeparator" w:id="0">
    <w:p w14:paraId="379091E6" w14:textId="77777777" w:rsidR="00054833" w:rsidRDefault="000548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65F9E" w14:textId="0B1C7FDB" w:rsidR="00207DEC" w:rsidRDefault="00207DEC">
    <w:pPr>
      <w:pStyle w:val="a7"/>
      <w:tabs>
        <w:tab w:val="right" w:pos="941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AEF86" w14:textId="77777777" w:rsidR="00054833" w:rsidRDefault="00054833">
      <w:pPr>
        <w:spacing w:after="0" w:line="240" w:lineRule="auto"/>
      </w:pPr>
      <w:r>
        <w:separator/>
      </w:r>
    </w:p>
  </w:footnote>
  <w:footnote w:type="continuationSeparator" w:id="0">
    <w:p w14:paraId="6AF833E5" w14:textId="77777777" w:rsidR="00054833" w:rsidRDefault="000548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BEB11" w14:textId="18B5A235" w:rsidR="00207DEC" w:rsidRDefault="00207DEC">
    <w:pPr>
      <w:pStyle w:val="a5"/>
      <w:pBdr>
        <w:bottom w:val="single" w:sz="4" w:space="0" w:color="CEDDE2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44915622">
    <w:abstractNumId w:val="8"/>
  </w:num>
  <w:num w:numId="2" w16cid:durableId="1475289826">
    <w:abstractNumId w:val="6"/>
  </w:num>
  <w:num w:numId="3" w16cid:durableId="899172077">
    <w:abstractNumId w:val="5"/>
  </w:num>
  <w:num w:numId="4" w16cid:durableId="1173837183">
    <w:abstractNumId w:val="4"/>
  </w:num>
  <w:num w:numId="5" w16cid:durableId="729423475">
    <w:abstractNumId w:val="7"/>
  </w:num>
  <w:num w:numId="6" w16cid:durableId="1156265239">
    <w:abstractNumId w:val="3"/>
  </w:num>
  <w:num w:numId="7" w16cid:durableId="1752192748">
    <w:abstractNumId w:val="2"/>
  </w:num>
  <w:num w:numId="8" w16cid:durableId="439646734">
    <w:abstractNumId w:val="1"/>
  </w:num>
  <w:num w:numId="9" w16cid:durableId="741222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E74"/>
    <w:rsid w:val="00034616"/>
    <w:rsid w:val="00054833"/>
    <w:rsid w:val="0006063C"/>
    <w:rsid w:val="0015074B"/>
    <w:rsid w:val="00207DEC"/>
    <w:rsid w:val="0029639D"/>
    <w:rsid w:val="00326F90"/>
    <w:rsid w:val="00AA1D8D"/>
    <w:rsid w:val="00B47730"/>
    <w:rsid w:val="00C93E8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E13B3C"/>
  <w14:defaultImageDpi w14:val="300"/>
  <w15:docId w15:val="{A561E1E5-8A6A-4435-9C3C-DFC98453A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23323A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 w:after="160"/>
      <w:outlineLvl w:val="0"/>
    </w:pPr>
    <w:rPr>
      <w:rFonts w:asciiTheme="majorHAnsi" w:eastAsiaTheme="majorEastAsia" w:hAnsiTheme="majorHAnsi" w:cstheme="majorBidi"/>
      <w:b/>
      <w:bCs/>
      <w:color w:val="193A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160"/>
      <w:outlineLvl w:val="1"/>
    </w:pPr>
    <w:rPr>
      <w:rFonts w:asciiTheme="majorHAnsi" w:eastAsiaTheme="majorEastAsia" w:hAnsiTheme="majorHAnsi" w:cstheme="majorBidi"/>
      <w:b/>
      <w:bCs/>
      <w:color w:val="236C78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80" w:after="160"/>
      <w:outlineLvl w:val="2"/>
    </w:pPr>
    <w:rPr>
      <w:rFonts w:asciiTheme="majorHAnsi" w:eastAsiaTheme="majorEastAsia" w:hAnsiTheme="majorHAnsi" w:cstheme="majorBidi"/>
      <w:b/>
      <w:bCs/>
      <w:color w:val="193A4A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93A4A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a1"/>
    <w:pPr>
      <w:spacing w:after="100"/>
    </w:pPr>
    <w:rPr>
      <w:rFonts w:ascii="Arial" w:hAnsi="Arial"/>
      <w:sz w:val="21"/>
    </w:rPr>
  </w:style>
  <w:style w:type="paragraph" w:customStyle="1" w:styleId="Small">
    <w:name w:val="Small"/>
    <w:basedOn w:val="a1"/>
    <w:pPr>
      <w:spacing w:after="100"/>
    </w:pPr>
    <w:rPr>
      <w:rFonts w:ascii="Arial" w:hAnsi="Arial"/>
      <w:sz w:val="21"/>
    </w:rPr>
  </w:style>
  <w:style w:type="paragraph" w:customStyle="1" w:styleId="Callout">
    <w:name w:val="Callout"/>
    <w:basedOn w:val="a1"/>
    <w:pPr>
      <w:spacing w:before="100" w:after="200"/>
      <w:ind w:left="142" w:right="85"/>
    </w:pPr>
    <w:rPr>
      <w:rFonts w:ascii="Arial" w:hAnsi="Arial"/>
      <w:color w:val="245C65"/>
      <w:sz w:val="23"/>
    </w:rPr>
  </w:style>
  <w:style w:type="paragraph" w:customStyle="1" w:styleId="Question">
    <w:name w:val="Question"/>
    <w:basedOn w:val="a1"/>
    <w:pPr>
      <w:keepNext/>
      <w:spacing w:after="10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penstax.org/books/principles-marketing/pages/18-1-retailing-and-the-role-of-retailers-in-the-distribution-channe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penstax.org/books/principles-marketing/pages/11-3-the-gap-model-of-service-qualit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search.rug.nl/en/publications/understanding-customer-experience-throughout-the-customer-journey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2607</Words>
  <Characters>14864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Покупательский опыт, розничная среда и омниканальное поведение</dc:title>
  <dc:subject>Управление поведением потребителей на рынке — лекционный курс</dc:subject>
  <dc:creator>Учебные материалы</dc:creator>
  <cp:keywords>бакалавриат; потребительское поведение;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2026-09-28T09:53:00Z</dcterms:modified>
  <cp:category/>
</cp:coreProperties>
</file>