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B4A0" w14:textId="77777777" w:rsidR="007929F0" w:rsidRPr="00986549" w:rsidRDefault="00000000">
      <w:pPr>
        <w:pStyle w:val="aa"/>
        <w:rPr>
          <w:lang w:val="ru-RU"/>
        </w:rPr>
      </w:pPr>
      <w:r w:rsidRPr="00986549">
        <w:rPr>
          <w:lang w:val="ru-RU"/>
        </w:rPr>
        <w:t>Маркетинговые коммуникации и изменение предпочтений</w:t>
      </w:r>
    </w:p>
    <w:p w14:paraId="4BA35CFA" w14:textId="77777777" w:rsidR="007929F0" w:rsidRPr="00986549" w:rsidRDefault="00000000">
      <w:pPr>
        <w:pStyle w:val="Small"/>
        <w:rPr>
          <w:lang w:val="ru-RU"/>
        </w:rPr>
      </w:pPr>
      <w:r w:rsidRPr="00986549">
        <w:rPr>
          <w:lang w:val="ru-RU"/>
        </w:rPr>
        <w:t>Лекция 11 • Неделя 11 • Курс «Управление поведением потребителей на рынке»</w:t>
      </w:r>
    </w:p>
    <w:p w14:paraId="78D8F8A2" w14:textId="77777777" w:rsidR="007929F0" w:rsidRPr="00986549" w:rsidRDefault="00000000">
      <w:pPr>
        <w:pStyle w:val="21"/>
        <w:rPr>
          <w:lang w:val="ru-RU"/>
        </w:rPr>
      </w:pPr>
      <w:r w:rsidRPr="00986549">
        <w:rPr>
          <w:lang w:val="ru-RU"/>
        </w:rPr>
        <w:t>Вопросы лекции</w:t>
      </w:r>
    </w:p>
    <w:p w14:paraId="36C74475" w14:textId="77777777" w:rsidR="007929F0" w:rsidRPr="00986549" w:rsidRDefault="00000000">
      <w:pPr>
        <w:rPr>
          <w:lang w:val="ru-RU"/>
        </w:rPr>
      </w:pPr>
      <w:r w:rsidRPr="00986549">
        <w:rPr>
          <w:lang w:val="ru-RU"/>
        </w:rPr>
        <w:t>1. Как связать коммуникационную цель с этапом и задачей выбора?</w:t>
      </w:r>
    </w:p>
    <w:p w14:paraId="1599FBAC" w14:textId="77777777" w:rsidR="007929F0" w:rsidRPr="00986549" w:rsidRDefault="00000000">
      <w:pPr>
        <w:rPr>
          <w:lang w:val="ru-RU"/>
        </w:rPr>
      </w:pPr>
      <w:r w:rsidRPr="00986549">
        <w:rPr>
          <w:lang w:val="ru-RU"/>
        </w:rPr>
        <w:t>2. Как аудитория обрабатывает аргументы и сопутствующие сигналы?</w:t>
      </w:r>
    </w:p>
    <w:p w14:paraId="4F58ADAE" w14:textId="77777777" w:rsidR="007929F0" w:rsidRPr="00986549" w:rsidRDefault="00000000">
      <w:pPr>
        <w:rPr>
          <w:lang w:val="ru-RU"/>
        </w:rPr>
      </w:pPr>
      <w:r w:rsidRPr="00986549">
        <w:rPr>
          <w:lang w:val="ru-RU"/>
        </w:rPr>
        <w:t>3. Как выбирать сообщение, источник и формат?</w:t>
      </w:r>
    </w:p>
    <w:p w14:paraId="180BCEE5" w14:textId="77777777" w:rsidR="007929F0" w:rsidRPr="00986549" w:rsidRDefault="00000000">
      <w:pPr>
        <w:rPr>
          <w:lang w:val="ru-RU"/>
        </w:rPr>
      </w:pPr>
      <w:r w:rsidRPr="00986549">
        <w:rPr>
          <w:lang w:val="ru-RU"/>
        </w:rPr>
        <w:t>4. Как согласовать рекламу, контент, личное взаимодействие и стимулирование?</w:t>
      </w:r>
    </w:p>
    <w:p w14:paraId="180CE323" w14:textId="77777777" w:rsidR="007929F0" w:rsidRPr="00986549" w:rsidRDefault="00000000">
      <w:pPr>
        <w:rPr>
          <w:lang w:val="ru-RU"/>
        </w:rPr>
      </w:pPr>
      <w:r w:rsidRPr="00986549">
        <w:rPr>
          <w:lang w:val="ru-RU"/>
        </w:rPr>
        <w:t>5. Как оценивать понимание, предпочтение и поведение?</w:t>
      </w:r>
    </w:p>
    <w:p w14:paraId="123581BF" w14:textId="77777777" w:rsidR="007929F0" w:rsidRPr="00986549" w:rsidRDefault="00000000">
      <w:pPr>
        <w:pStyle w:val="1"/>
        <w:pageBreakBefore/>
        <w:rPr>
          <w:lang w:val="ru-RU"/>
        </w:rPr>
      </w:pPr>
      <w:r w:rsidRPr="00986549">
        <w:rPr>
          <w:lang w:val="ru-RU"/>
        </w:rPr>
        <w:lastRenderedPageBreak/>
        <w:t>1. Цели коммуникации и логика результата</w:t>
      </w:r>
    </w:p>
    <w:p w14:paraId="29BF2466" w14:textId="77777777" w:rsidR="007929F0" w:rsidRPr="00986549" w:rsidRDefault="00000000">
      <w:pPr>
        <w:rPr>
          <w:lang w:val="ru-RU"/>
        </w:rPr>
      </w:pPr>
      <w:r w:rsidRPr="00986549">
        <w:rPr>
          <w:lang w:val="ru-RU"/>
        </w:rPr>
        <w:t>Коммуникация может помогать узнать о категории, понять предложение, сравнить варианты, уменьшить обоснованную неопределенность или восстановить контекст повторного действия. Эти задачи различаются и требуют разных материалов. Человеку, который не знает о существовании услуги, нужен понятный вход; человеку, уже выбравшему вариант, — точные условия и способ завершения.</w:t>
      </w:r>
    </w:p>
    <w:p w14:paraId="24E436BF" w14:textId="77777777" w:rsidR="007929F0" w:rsidRPr="00986549" w:rsidRDefault="00000000">
      <w:pPr>
        <w:rPr>
          <w:lang w:val="ru-RU"/>
        </w:rPr>
      </w:pPr>
      <w:r w:rsidRPr="00986549">
        <w:rPr>
          <w:lang w:val="ru-RU"/>
        </w:rPr>
        <w:t>Комплекс продвижения включает рекламу, связи с общественностью, стимулирование, личные продажи и другие формы взаимодействия [1]. Для учебного проекта важна не полнота перечня, а функция каждого инструмента. Не требуется запускать все каналы одновременно, если проблема решается одним доступным материалом.</w:t>
      </w:r>
    </w:p>
    <w:p w14:paraId="6215011F" w14:textId="77777777" w:rsidR="007929F0" w:rsidRPr="00986549" w:rsidRDefault="00000000">
      <w:pPr>
        <w:pStyle w:val="21"/>
        <w:rPr>
          <w:lang w:val="ru-RU"/>
        </w:rPr>
      </w:pPr>
      <w:r w:rsidRPr="00986549">
        <w:rPr>
          <w:lang w:val="ru-RU"/>
        </w:rPr>
        <w:t>Уровни результата</w:t>
      </w:r>
    </w:p>
    <w:p w14:paraId="5AD8E3E4" w14:textId="77777777" w:rsidR="007929F0" w:rsidRPr="00986549" w:rsidRDefault="00000000">
      <w:pPr>
        <w:rPr>
          <w:lang w:val="ru-RU"/>
        </w:rPr>
      </w:pPr>
      <w:r w:rsidRPr="00986549">
        <w:rPr>
          <w:lang w:val="ru-RU"/>
        </w:rPr>
        <w:t>Выпуск объявления — выполненная работа. Показы и охват — распространение. Понимание — результат обработки сообщения. Предпочтение — оценочная реакция. Покупка и использование — поведение. Между уровнями возможна связь, но ни один предыдущий не доказывает следующий. Поэтому показатели выбирают под конкретную цель.</w:t>
      </w:r>
    </w:p>
    <w:tbl>
      <w:tblPr>
        <w:tblW w:w="0" w:type="auto"/>
        <w:jc w:val="center"/>
        <w:tblLayout w:type="fixed"/>
        <w:tblLook w:val="04A0" w:firstRow="1" w:lastRow="0" w:firstColumn="1" w:lastColumn="0" w:noHBand="0" w:noVBand="1"/>
      </w:tblPr>
      <w:tblGrid>
        <w:gridCol w:w="2154"/>
        <w:gridCol w:w="3402"/>
        <w:gridCol w:w="3855"/>
      </w:tblGrid>
      <w:tr w:rsidR="007929F0" w14:paraId="3D85F44D" w14:textId="77777777">
        <w:trPr>
          <w:cantSplit/>
          <w:tblHeader/>
          <w:jc w:val="center"/>
        </w:trPr>
        <w:tc>
          <w:tcPr>
            <w:tcW w:w="2154" w:type="dxa"/>
            <w:shd w:val="clear" w:color="auto" w:fill="254656"/>
            <w:tcMar>
              <w:top w:w="85" w:type="dxa"/>
              <w:left w:w="105" w:type="dxa"/>
              <w:bottom w:w="85" w:type="dxa"/>
              <w:right w:w="105" w:type="dxa"/>
            </w:tcMar>
            <w:vAlign w:val="center"/>
          </w:tcPr>
          <w:p w14:paraId="4DAB95AB" w14:textId="77777777" w:rsidR="007929F0" w:rsidRDefault="00000000">
            <w:pPr>
              <w:pStyle w:val="TableText"/>
            </w:pPr>
            <w:proofErr w:type="spellStart"/>
            <w:r>
              <w:rPr>
                <w:rFonts w:eastAsia="Arial" w:cs="Arial"/>
                <w:b/>
                <w:color w:val="FFFFFF"/>
              </w:rPr>
              <w:t>Цель</w:t>
            </w:r>
            <w:proofErr w:type="spellEnd"/>
          </w:p>
        </w:tc>
        <w:tc>
          <w:tcPr>
            <w:tcW w:w="3402" w:type="dxa"/>
            <w:shd w:val="clear" w:color="auto" w:fill="254656"/>
            <w:tcMar>
              <w:top w:w="85" w:type="dxa"/>
              <w:left w:w="105" w:type="dxa"/>
              <w:bottom w:w="85" w:type="dxa"/>
              <w:right w:w="105" w:type="dxa"/>
            </w:tcMar>
            <w:vAlign w:val="center"/>
          </w:tcPr>
          <w:p w14:paraId="4A9993EB" w14:textId="77777777" w:rsidR="007929F0" w:rsidRDefault="00000000">
            <w:pPr>
              <w:pStyle w:val="TableText"/>
            </w:pPr>
            <w:r>
              <w:rPr>
                <w:rFonts w:eastAsia="Arial" w:cs="Arial"/>
                <w:b/>
                <w:color w:val="FFFFFF"/>
              </w:rPr>
              <w:t>Пример материала</w:t>
            </w:r>
          </w:p>
        </w:tc>
        <w:tc>
          <w:tcPr>
            <w:tcW w:w="3855" w:type="dxa"/>
            <w:shd w:val="clear" w:color="auto" w:fill="254656"/>
            <w:tcMar>
              <w:top w:w="85" w:type="dxa"/>
              <w:left w:w="105" w:type="dxa"/>
              <w:bottom w:w="85" w:type="dxa"/>
              <w:right w:w="105" w:type="dxa"/>
            </w:tcMar>
            <w:vAlign w:val="center"/>
          </w:tcPr>
          <w:p w14:paraId="00CC6D33" w14:textId="77777777" w:rsidR="007929F0" w:rsidRDefault="00000000">
            <w:pPr>
              <w:pStyle w:val="TableText"/>
            </w:pPr>
            <w:r>
              <w:rPr>
                <w:rFonts w:eastAsia="Arial" w:cs="Arial"/>
                <w:b/>
                <w:color w:val="FFFFFF"/>
              </w:rPr>
              <w:t>Подходящий вопрос проверки</w:t>
            </w:r>
          </w:p>
        </w:tc>
      </w:tr>
      <w:tr w:rsidR="007929F0" w14:paraId="02FFC507" w14:textId="77777777">
        <w:trPr>
          <w:cantSplit/>
          <w:jc w:val="center"/>
        </w:trPr>
        <w:tc>
          <w:tcPr>
            <w:tcW w:w="2154" w:type="dxa"/>
            <w:shd w:val="clear" w:color="auto" w:fill="F0F5F7"/>
            <w:tcMar>
              <w:top w:w="85" w:type="dxa"/>
              <w:left w:w="105" w:type="dxa"/>
              <w:bottom w:w="85" w:type="dxa"/>
              <w:right w:w="105" w:type="dxa"/>
            </w:tcMar>
            <w:vAlign w:val="center"/>
          </w:tcPr>
          <w:p w14:paraId="56F9FF58" w14:textId="77777777" w:rsidR="007929F0" w:rsidRDefault="00000000">
            <w:pPr>
              <w:pStyle w:val="TableText"/>
            </w:pPr>
            <w:r>
              <w:rPr>
                <w:rFonts w:eastAsia="Arial" w:cs="Arial"/>
                <w:color w:val="243B48"/>
              </w:rPr>
              <w:t>Объяснить категорию</w:t>
            </w:r>
          </w:p>
        </w:tc>
        <w:tc>
          <w:tcPr>
            <w:tcW w:w="3402" w:type="dxa"/>
            <w:shd w:val="clear" w:color="auto" w:fill="F0F5F7"/>
            <w:tcMar>
              <w:top w:w="85" w:type="dxa"/>
              <w:left w:w="105" w:type="dxa"/>
              <w:bottom w:w="85" w:type="dxa"/>
              <w:right w:w="105" w:type="dxa"/>
            </w:tcMar>
            <w:vAlign w:val="center"/>
          </w:tcPr>
          <w:p w14:paraId="4FC5C250" w14:textId="77777777" w:rsidR="007929F0" w:rsidRPr="00986549" w:rsidRDefault="00000000">
            <w:pPr>
              <w:pStyle w:val="TableText"/>
              <w:rPr>
                <w:lang w:val="ru-RU"/>
              </w:rPr>
            </w:pPr>
            <w:r w:rsidRPr="00986549">
              <w:rPr>
                <w:rFonts w:eastAsia="Arial" w:cs="Arial"/>
                <w:color w:val="243B48"/>
                <w:lang w:val="ru-RU"/>
              </w:rPr>
              <w:t>Краткое описание задачи и результата</w:t>
            </w:r>
          </w:p>
        </w:tc>
        <w:tc>
          <w:tcPr>
            <w:tcW w:w="3855" w:type="dxa"/>
            <w:shd w:val="clear" w:color="auto" w:fill="F0F5F7"/>
            <w:tcMar>
              <w:top w:w="85" w:type="dxa"/>
              <w:left w:w="105" w:type="dxa"/>
              <w:bottom w:w="85" w:type="dxa"/>
              <w:right w:w="105" w:type="dxa"/>
            </w:tcMar>
            <w:vAlign w:val="center"/>
          </w:tcPr>
          <w:p w14:paraId="70BC4DC0" w14:textId="77777777" w:rsidR="007929F0" w:rsidRDefault="00000000">
            <w:pPr>
              <w:pStyle w:val="TableText"/>
            </w:pPr>
            <w:proofErr w:type="spellStart"/>
            <w:r>
              <w:rPr>
                <w:rFonts w:eastAsia="Arial" w:cs="Arial"/>
                <w:color w:val="243B48"/>
              </w:rPr>
              <w:t>Что</w:t>
            </w:r>
            <w:proofErr w:type="spellEnd"/>
            <w:r>
              <w:rPr>
                <w:rFonts w:eastAsia="Arial" w:cs="Arial"/>
                <w:color w:val="243B48"/>
              </w:rPr>
              <w:t xml:space="preserve"> </w:t>
            </w:r>
            <w:proofErr w:type="spellStart"/>
            <w:r>
              <w:rPr>
                <w:rFonts w:eastAsia="Arial" w:cs="Arial"/>
                <w:color w:val="243B48"/>
              </w:rPr>
              <w:t>предлагает</w:t>
            </w:r>
            <w:proofErr w:type="spellEnd"/>
            <w:r>
              <w:rPr>
                <w:rFonts w:eastAsia="Arial" w:cs="Arial"/>
                <w:color w:val="243B48"/>
              </w:rPr>
              <w:t xml:space="preserve"> </w:t>
            </w:r>
            <w:proofErr w:type="spellStart"/>
            <w:r>
              <w:rPr>
                <w:rFonts w:eastAsia="Arial" w:cs="Arial"/>
                <w:color w:val="243B48"/>
              </w:rPr>
              <w:t>организация</w:t>
            </w:r>
            <w:proofErr w:type="spellEnd"/>
            <w:r>
              <w:rPr>
                <w:rFonts w:eastAsia="Arial" w:cs="Arial"/>
                <w:color w:val="243B48"/>
              </w:rPr>
              <w:t>?</w:t>
            </w:r>
          </w:p>
        </w:tc>
      </w:tr>
      <w:tr w:rsidR="007929F0" w14:paraId="4DC9FD16" w14:textId="77777777">
        <w:trPr>
          <w:cantSplit/>
          <w:jc w:val="center"/>
        </w:trPr>
        <w:tc>
          <w:tcPr>
            <w:tcW w:w="2154" w:type="dxa"/>
            <w:shd w:val="clear" w:color="auto" w:fill="FFFFFF"/>
            <w:tcMar>
              <w:top w:w="85" w:type="dxa"/>
              <w:left w:w="105" w:type="dxa"/>
              <w:bottom w:w="85" w:type="dxa"/>
              <w:right w:w="105" w:type="dxa"/>
            </w:tcMar>
            <w:vAlign w:val="center"/>
          </w:tcPr>
          <w:p w14:paraId="29363DD7" w14:textId="77777777" w:rsidR="007929F0" w:rsidRDefault="00000000">
            <w:pPr>
              <w:pStyle w:val="TableText"/>
            </w:pPr>
            <w:r>
              <w:rPr>
                <w:rFonts w:eastAsia="Arial" w:cs="Arial"/>
                <w:color w:val="243B48"/>
              </w:rPr>
              <w:t>Помочь сравнению</w:t>
            </w:r>
          </w:p>
        </w:tc>
        <w:tc>
          <w:tcPr>
            <w:tcW w:w="3402" w:type="dxa"/>
            <w:shd w:val="clear" w:color="auto" w:fill="FFFFFF"/>
            <w:tcMar>
              <w:top w:w="85" w:type="dxa"/>
              <w:left w:w="105" w:type="dxa"/>
              <w:bottom w:w="85" w:type="dxa"/>
              <w:right w:w="105" w:type="dxa"/>
            </w:tcMar>
            <w:vAlign w:val="center"/>
          </w:tcPr>
          <w:p w14:paraId="20EF1F9A" w14:textId="77777777" w:rsidR="007929F0" w:rsidRDefault="00000000">
            <w:pPr>
              <w:pStyle w:val="TableText"/>
            </w:pPr>
            <w:r>
              <w:rPr>
                <w:rFonts w:eastAsia="Arial" w:cs="Arial"/>
                <w:color w:val="243B48"/>
              </w:rPr>
              <w:t>Таблица вариантов</w:t>
            </w:r>
          </w:p>
        </w:tc>
        <w:tc>
          <w:tcPr>
            <w:tcW w:w="3855" w:type="dxa"/>
            <w:shd w:val="clear" w:color="auto" w:fill="FFFFFF"/>
            <w:tcMar>
              <w:top w:w="85" w:type="dxa"/>
              <w:left w:w="105" w:type="dxa"/>
              <w:bottom w:w="85" w:type="dxa"/>
              <w:right w:w="105" w:type="dxa"/>
            </w:tcMar>
            <w:vAlign w:val="center"/>
          </w:tcPr>
          <w:p w14:paraId="109C0DCC" w14:textId="77777777" w:rsidR="007929F0" w:rsidRDefault="00000000">
            <w:pPr>
              <w:pStyle w:val="TableText"/>
            </w:pPr>
            <w:r>
              <w:rPr>
                <w:rFonts w:eastAsia="Arial" w:cs="Arial"/>
                <w:color w:val="243B48"/>
              </w:rPr>
              <w:t>Какие различия существенны?</w:t>
            </w:r>
          </w:p>
        </w:tc>
      </w:tr>
      <w:tr w:rsidR="007929F0" w14:paraId="10DAADC8" w14:textId="77777777">
        <w:trPr>
          <w:cantSplit/>
          <w:jc w:val="center"/>
        </w:trPr>
        <w:tc>
          <w:tcPr>
            <w:tcW w:w="2154" w:type="dxa"/>
            <w:shd w:val="clear" w:color="auto" w:fill="F0F5F7"/>
            <w:tcMar>
              <w:top w:w="85" w:type="dxa"/>
              <w:left w:w="105" w:type="dxa"/>
              <w:bottom w:w="85" w:type="dxa"/>
              <w:right w:w="105" w:type="dxa"/>
            </w:tcMar>
            <w:vAlign w:val="center"/>
          </w:tcPr>
          <w:p w14:paraId="58FF14C0" w14:textId="77777777" w:rsidR="007929F0" w:rsidRDefault="00000000">
            <w:pPr>
              <w:pStyle w:val="TableText"/>
            </w:pPr>
            <w:r>
              <w:rPr>
                <w:rFonts w:eastAsia="Arial" w:cs="Arial"/>
                <w:color w:val="243B48"/>
              </w:rPr>
              <w:t>Уточнить доверие</w:t>
            </w:r>
          </w:p>
        </w:tc>
        <w:tc>
          <w:tcPr>
            <w:tcW w:w="3402" w:type="dxa"/>
            <w:shd w:val="clear" w:color="auto" w:fill="F0F5F7"/>
            <w:tcMar>
              <w:top w:w="85" w:type="dxa"/>
              <w:left w:w="105" w:type="dxa"/>
              <w:bottom w:w="85" w:type="dxa"/>
              <w:right w:w="105" w:type="dxa"/>
            </w:tcMar>
            <w:vAlign w:val="center"/>
          </w:tcPr>
          <w:p w14:paraId="4CCBE8D5" w14:textId="77777777" w:rsidR="007929F0" w:rsidRDefault="00000000">
            <w:pPr>
              <w:pStyle w:val="TableText"/>
            </w:pPr>
            <w:r>
              <w:rPr>
                <w:rFonts w:eastAsia="Arial" w:cs="Arial"/>
                <w:color w:val="243B48"/>
              </w:rPr>
              <w:t>Доказательства и ограничения</w:t>
            </w:r>
          </w:p>
        </w:tc>
        <w:tc>
          <w:tcPr>
            <w:tcW w:w="3855" w:type="dxa"/>
            <w:shd w:val="clear" w:color="auto" w:fill="F0F5F7"/>
            <w:tcMar>
              <w:top w:w="85" w:type="dxa"/>
              <w:left w:w="105" w:type="dxa"/>
              <w:bottom w:w="85" w:type="dxa"/>
              <w:right w:w="105" w:type="dxa"/>
            </w:tcMar>
            <w:vAlign w:val="center"/>
          </w:tcPr>
          <w:p w14:paraId="45B02079" w14:textId="77777777" w:rsidR="007929F0" w:rsidRDefault="00000000">
            <w:pPr>
              <w:pStyle w:val="TableText"/>
            </w:pPr>
            <w:r>
              <w:rPr>
                <w:rFonts w:eastAsia="Arial" w:cs="Arial"/>
                <w:color w:val="243B48"/>
              </w:rPr>
              <w:t>На чем основано обещание?</w:t>
            </w:r>
          </w:p>
        </w:tc>
      </w:tr>
      <w:tr w:rsidR="007929F0" w14:paraId="0DC67CCF" w14:textId="77777777">
        <w:trPr>
          <w:cantSplit/>
          <w:jc w:val="center"/>
        </w:trPr>
        <w:tc>
          <w:tcPr>
            <w:tcW w:w="2154" w:type="dxa"/>
            <w:shd w:val="clear" w:color="auto" w:fill="FFFFFF"/>
            <w:tcMar>
              <w:top w:w="85" w:type="dxa"/>
              <w:left w:w="105" w:type="dxa"/>
              <w:bottom w:w="85" w:type="dxa"/>
              <w:right w:w="105" w:type="dxa"/>
            </w:tcMar>
            <w:vAlign w:val="center"/>
          </w:tcPr>
          <w:p w14:paraId="304993BF" w14:textId="77777777" w:rsidR="007929F0" w:rsidRDefault="00000000">
            <w:pPr>
              <w:pStyle w:val="TableText"/>
            </w:pPr>
            <w:r>
              <w:rPr>
                <w:rFonts w:eastAsia="Arial" w:cs="Arial"/>
                <w:color w:val="243B48"/>
              </w:rPr>
              <w:t>Поддержать действие</w:t>
            </w:r>
          </w:p>
        </w:tc>
        <w:tc>
          <w:tcPr>
            <w:tcW w:w="3402" w:type="dxa"/>
            <w:shd w:val="clear" w:color="auto" w:fill="FFFFFF"/>
            <w:tcMar>
              <w:top w:w="85" w:type="dxa"/>
              <w:left w:w="105" w:type="dxa"/>
              <w:bottom w:w="85" w:type="dxa"/>
              <w:right w:w="105" w:type="dxa"/>
            </w:tcMar>
            <w:vAlign w:val="center"/>
          </w:tcPr>
          <w:p w14:paraId="11B5C1CF" w14:textId="77777777" w:rsidR="007929F0" w:rsidRDefault="00000000">
            <w:pPr>
              <w:pStyle w:val="TableText"/>
            </w:pPr>
            <w:r>
              <w:rPr>
                <w:rFonts w:eastAsia="Arial" w:cs="Arial"/>
                <w:color w:val="243B48"/>
              </w:rPr>
              <w:t>Понятная инструкция</w:t>
            </w:r>
          </w:p>
        </w:tc>
        <w:tc>
          <w:tcPr>
            <w:tcW w:w="3855" w:type="dxa"/>
            <w:shd w:val="clear" w:color="auto" w:fill="FFFFFF"/>
            <w:tcMar>
              <w:top w:w="85" w:type="dxa"/>
              <w:left w:w="105" w:type="dxa"/>
              <w:bottom w:w="85" w:type="dxa"/>
              <w:right w:w="105" w:type="dxa"/>
            </w:tcMar>
            <w:vAlign w:val="center"/>
          </w:tcPr>
          <w:p w14:paraId="04D8D741" w14:textId="77777777" w:rsidR="007929F0" w:rsidRDefault="00000000">
            <w:pPr>
              <w:pStyle w:val="TableText"/>
            </w:pPr>
            <w:r>
              <w:rPr>
                <w:rFonts w:eastAsia="Arial" w:cs="Arial"/>
                <w:color w:val="243B48"/>
              </w:rPr>
              <w:t>Удается ли выполнить задачу?</w:t>
            </w:r>
          </w:p>
        </w:tc>
      </w:tr>
    </w:tbl>
    <w:p w14:paraId="12AEBA6A" w14:textId="77777777" w:rsidR="007929F0" w:rsidRDefault="007929F0">
      <w:pPr>
        <w:spacing w:after="0"/>
      </w:pPr>
    </w:p>
    <w:p w14:paraId="5432243C" w14:textId="77777777" w:rsidR="007929F0" w:rsidRPr="00986549" w:rsidRDefault="00000000">
      <w:pPr>
        <w:rPr>
          <w:lang w:val="ru-RU"/>
        </w:rPr>
      </w:pPr>
      <w:r w:rsidRPr="00986549">
        <w:rPr>
          <w:lang w:val="ru-RU"/>
        </w:rPr>
        <w:t>Коммуникационная цель должна быть наблюдаемой и ограниченной. «Сформировать любовь к бренду» слишком широко для небольшой работы. «Проверить, могут ли новые пользователи правильно назвать состав услуги после просмотра» задает аудиторию, результат и процедуру.</w:t>
      </w:r>
    </w:p>
    <w:p w14:paraId="22A506B0" w14:textId="77777777" w:rsidR="007929F0" w:rsidRPr="00986549" w:rsidRDefault="00000000">
      <w:pPr>
        <w:pStyle w:val="21"/>
        <w:rPr>
          <w:lang w:val="ru-RU"/>
        </w:rPr>
      </w:pPr>
      <w:r w:rsidRPr="00986549">
        <w:rPr>
          <w:lang w:val="ru-RU"/>
        </w:rPr>
        <w:t>Изменение предпочтения</w:t>
      </w:r>
    </w:p>
    <w:p w14:paraId="2FFE4F34" w14:textId="77777777" w:rsidR="007929F0" w:rsidRPr="00986549" w:rsidRDefault="00000000">
      <w:pPr>
        <w:rPr>
          <w:lang w:val="ru-RU"/>
        </w:rPr>
      </w:pPr>
      <w:r w:rsidRPr="00986549">
        <w:rPr>
          <w:lang w:val="ru-RU"/>
        </w:rPr>
        <w:t>Предпочтение имеет смысл относительно альтернатив и условий. Если человек выбирает вариант в абстрактном опросе без цены, это не означает предпочтение в реальной покупке. При проверке важно сохранять релевантный контекст и не скрывать компромиссы.</w:t>
      </w:r>
    </w:p>
    <w:p w14:paraId="4A313962" w14:textId="77777777" w:rsidR="007929F0" w:rsidRPr="00986549" w:rsidRDefault="00000000">
      <w:pPr>
        <w:rPr>
          <w:lang w:val="ru-RU"/>
        </w:rPr>
      </w:pPr>
      <w:r w:rsidRPr="00986549">
        <w:rPr>
          <w:lang w:val="ru-RU"/>
        </w:rPr>
        <w:t>Полезная коммуникация может привести к отказу человека, которому предложение не подходит. Это не обязательно провал: уменьшается риск ошибочных ожиданий и ненужных обращений. Оценка должна учитывать качество соответствия, а не только максимальное число положительных реакций.</w:t>
      </w:r>
    </w:p>
    <w:p w14:paraId="5D7346FB" w14:textId="77777777" w:rsidR="007929F0" w:rsidRPr="00986549" w:rsidRDefault="00000000">
      <w:pPr>
        <w:pStyle w:val="1"/>
        <w:pageBreakBefore/>
        <w:rPr>
          <w:lang w:val="ru-RU"/>
        </w:rPr>
      </w:pPr>
      <w:r w:rsidRPr="00986549">
        <w:rPr>
          <w:lang w:val="ru-RU"/>
        </w:rPr>
        <w:lastRenderedPageBreak/>
        <w:t>2. Аргументы, сигналы и глубина обработки</w:t>
      </w:r>
    </w:p>
    <w:p w14:paraId="2A76F7FB" w14:textId="77777777" w:rsidR="007929F0" w:rsidRPr="00986549" w:rsidRDefault="00000000">
      <w:pPr>
        <w:rPr>
          <w:lang w:val="ru-RU"/>
        </w:rPr>
      </w:pPr>
      <w:r w:rsidRPr="00986549">
        <w:rPr>
          <w:lang w:val="ru-RU"/>
        </w:rPr>
        <w:t xml:space="preserve">Модель вероятности осмысления сообщения Петти и </w:t>
      </w:r>
      <w:proofErr w:type="spellStart"/>
      <w:r w:rsidRPr="00986549">
        <w:rPr>
          <w:lang w:val="ru-RU"/>
        </w:rPr>
        <w:t>Качиоппо</w:t>
      </w:r>
      <w:proofErr w:type="spellEnd"/>
      <w:r w:rsidRPr="00986549">
        <w:rPr>
          <w:lang w:val="ru-RU"/>
        </w:rPr>
        <w:t xml:space="preserve"> рассматривает различия в глубине обработки в зависимости от мотивации и возможности обдумывать информацию [2]. При высокой вовлеченности существенны содержательные аргументы; при ограниченной обработке большее значение могут получать доступные сигналы. Это не два постоянных типа людей и не разрешение заменять доказательства впечатлением.</w:t>
      </w:r>
    </w:p>
    <w:p w14:paraId="31142822" w14:textId="77777777" w:rsidR="007929F0" w:rsidRPr="00986549" w:rsidRDefault="00000000">
      <w:pPr>
        <w:rPr>
          <w:lang w:val="ru-RU"/>
        </w:rPr>
      </w:pPr>
      <w:r w:rsidRPr="00986549">
        <w:rPr>
          <w:lang w:val="ru-RU"/>
        </w:rPr>
        <w:t>Один и тот же элемент способен играть разные роли. Указание квалификации автора может быть простым сигналом, а может побуждать внимательнее изучить аргумент. Поэтому нельзя механически присвоить каждому приему единственный эффект. Нужно учитывать вопрос, знания аудитории и контекст.</w:t>
      </w:r>
    </w:p>
    <w:p w14:paraId="6D5472EC" w14:textId="77777777" w:rsidR="007929F0" w:rsidRPr="00986549" w:rsidRDefault="00000000">
      <w:pPr>
        <w:pStyle w:val="21"/>
        <w:rPr>
          <w:lang w:val="ru-RU"/>
        </w:rPr>
      </w:pPr>
      <w:r w:rsidRPr="00986549">
        <w:rPr>
          <w:lang w:val="ru-RU"/>
        </w:rPr>
        <w:t>Качество аргумента</w:t>
      </w:r>
    </w:p>
    <w:p w14:paraId="5BC9A804" w14:textId="77777777" w:rsidR="007929F0" w:rsidRPr="00986549" w:rsidRDefault="00000000">
      <w:pPr>
        <w:rPr>
          <w:lang w:val="ru-RU"/>
        </w:rPr>
      </w:pPr>
      <w:r w:rsidRPr="00986549">
        <w:rPr>
          <w:lang w:val="ru-RU"/>
        </w:rPr>
        <w:t>Аргумент связывает утверждение с основанием. «Материал удобен» — оценка. «Поверхность можно очищать указанным способом, что подтверждено испытанием в описанных условиях» — более проверяемая структура. Сила аргумента зависит от релевантности задаче и достоверности основания, а не от длины текста или количества терминов.</w:t>
      </w:r>
    </w:p>
    <w:p w14:paraId="623F8B06" w14:textId="77777777" w:rsidR="007929F0" w:rsidRPr="00986549" w:rsidRDefault="00000000">
      <w:pPr>
        <w:rPr>
          <w:lang w:val="ru-RU"/>
        </w:rPr>
      </w:pPr>
      <w:r w:rsidRPr="00986549">
        <w:rPr>
          <w:lang w:val="ru-RU"/>
        </w:rPr>
        <w:t>Для начинающей аудитории полезно объяснять, почему характеристика важна. Для опытной — дать точные параметры и доступ к подробностям. Это не означает, что новичку нужно меньше существенной информации; ему нужна другая организация и расшифровка.</w:t>
      </w:r>
    </w:p>
    <w:p w14:paraId="3AC562C3" w14:textId="77777777" w:rsidR="007929F0" w:rsidRPr="00986549" w:rsidRDefault="00000000">
      <w:pPr>
        <w:pStyle w:val="21"/>
        <w:rPr>
          <w:lang w:val="ru-RU"/>
        </w:rPr>
      </w:pPr>
      <w:r w:rsidRPr="00986549">
        <w:rPr>
          <w:lang w:val="ru-RU"/>
        </w:rPr>
        <w:t>Эмоциональный смысл</w:t>
      </w:r>
    </w:p>
    <w:p w14:paraId="416A96CD" w14:textId="77777777" w:rsidR="007929F0" w:rsidRPr="00986549" w:rsidRDefault="00000000">
      <w:pPr>
        <w:rPr>
          <w:lang w:val="ru-RU"/>
        </w:rPr>
      </w:pPr>
      <w:r w:rsidRPr="00986549">
        <w:rPr>
          <w:lang w:val="ru-RU"/>
        </w:rPr>
        <w:t>Эмоция может помогать показать ситуацию и ценность, но не должна подменять факты. История о спокойном использовании сервиса уместна, если отражает реальные условия. Если она создает ожидание гарантированного результата, которого нет, необходимо уточнение. Достоверность важна и для эмоционального, и для рационального сообщения.</w:t>
      </w:r>
    </w:p>
    <w:p w14:paraId="312806A6" w14:textId="77777777" w:rsidR="007929F0" w:rsidRPr="00986549" w:rsidRDefault="00000000">
      <w:pPr>
        <w:pStyle w:val="21"/>
        <w:rPr>
          <w:lang w:val="ru-RU"/>
        </w:rPr>
      </w:pPr>
      <w:r w:rsidRPr="00986549">
        <w:rPr>
          <w:lang w:val="ru-RU"/>
        </w:rPr>
        <w:t>Работа с возражениями</w:t>
      </w:r>
    </w:p>
    <w:p w14:paraId="6793CF6A" w14:textId="77777777" w:rsidR="007929F0" w:rsidRPr="00986549" w:rsidRDefault="00000000">
      <w:pPr>
        <w:rPr>
          <w:lang w:val="ru-RU"/>
        </w:rPr>
      </w:pPr>
      <w:r w:rsidRPr="00986549">
        <w:rPr>
          <w:lang w:val="ru-RU"/>
        </w:rPr>
        <w:t>Возражение следует рассматривать как информацию о критерии или неопределенности. На вопрос о стоимости нужно отвечать составом расходов, а не утверждением, что «качество бесценно». На вопрос о совместимости — конкретными ограничениями, а не отзывом популярного автора. Признание неподходящего случая может быть более ответственным, чем попытка переубедить любой ценой.</w:t>
      </w:r>
    </w:p>
    <w:p w14:paraId="2C890FCB" w14:textId="77777777" w:rsidR="007929F0" w:rsidRPr="00986549" w:rsidRDefault="00000000">
      <w:pPr>
        <w:rPr>
          <w:lang w:val="ru-RU"/>
        </w:rPr>
      </w:pPr>
      <w:r w:rsidRPr="00986549">
        <w:rPr>
          <w:lang w:val="ru-RU"/>
        </w:rPr>
        <w:t>Практический результат — сообщение, которое поддерживает доступную глубину анализа. Краткий вход, ясное доказательство и возможность уточнения позволяют аудитории выбирать степень подробности, сохраняя доступ к существенным условиям.</w:t>
      </w:r>
    </w:p>
    <w:p w14:paraId="212FA302" w14:textId="77777777" w:rsidR="007929F0" w:rsidRPr="00986549" w:rsidRDefault="00000000">
      <w:pPr>
        <w:pStyle w:val="1"/>
        <w:pageBreakBefore/>
        <w:rPr>
          <w:lang w:val="ru-RU"/>
        </w:rPr>
      </w:pPr>
      <w:r w:rsidRPr="00986549">
        <w:rPr>
          <w:lang w:val="ru-RU"/>
        </w:rPr>
        <w:lastRenderedPageBreak/>
        <w:t>3. Архитектура сообщения и достоверность источника</w:t>
      </w:r>
    </w:p>
    <w:p w14:paraId="3B8D4969" w14:textId="77777777" w:rsidR="007929F0" w:rsidRPr="00986549" w:rsidRDefault="00000000">
      <w:pPr>
        <w:rPr>
          <w:lang w:val="ru-RU"/>
        </w:rPr>
      </w:pPr>
      <w:r w:rsidRPr="00986549">
        <w:rPr>
          <w:lang w:val="ru-RU"/>
        </w:rPr>
        <w:t>Для учебного проекта удобно строить сообщение из пяти частей: ситуация потребителя, обещаемый результат, основание, существенные ограничения и следующий шаг. Это рабочая схема подготовки, а не обязательная формула каждой рекламы. В коротком формате часть сведений может раскрываться по ссылке, но главное обещание не должно противоречить подробным условиям.</w:t>
      </w:r>
    </w:p>
    <w:p w14:paraId="36461823" w14:textId="77777777" w:rsidR="007929F0" w:rsidRPr="00986549" w:rsidRDefault="00000000">
      <w:pPr>
        <w:rPr>
          <w:lang w:val="ru-RU"/>
        </w:rPr>
      </w:pPr>
      <w:r w:rsidRPr="00986549">
        <w:rPr>
          <w:b/>
          <w:lang w:val="ru-RU"/>
        </w:rPr>
        <w:t>Заявление</w:t>
      </w:r>
      <w:r w:rsidRPr="00986549">
        <w:rPr>
          <w:lang w:val="ru-RU"/>
        </w:rPr>
        <w:t xml:space="preserve"> сообщает, что предлагается. </w:t>
      </w:r>
      <w:r w:rsidRPr="00986549">
        <w:rPr>
          <w:b/>
          <w:lang w:val="ru-RU"/>
        </w:rPr>
        <w:t>Доказательство</w:t>
      </w:r>
      <w:r w:rsidRPr="00986549">
        <w:rPr>
          <w:lang w:val="ru-RU"/>
        </w:rPr>
        <w:t xml:space="preserve"> позволяет проверить основание. </w:t>
      </w:r>
      <w:r w:rsidRPr="00986549">
        <w:rPr>
          <w:b/>
          <w:lang w:val="ru-RU"/>
        </w:rPr>
        <w:t>Ограничение</w:t>
      </w:r>
      <w:r w:rsidRPr="00986549">
        <w:rPr>
          <w:lang w:val="ru-RU"/>
        </w:rPr>
        <w:t xml:space="preserve"> показывает, когда обещание не действует. </w:t>
      </w:r>
      <w:r w:rsidRPr="00986549">
        <w:rPr>
          <w:b/>
          <w:lang w:val="ru-RU"/>
        </w:rPr>
        <w:t>Призыв к действию</w:t>
      </w:r>
      <w:r w:rsidRPr="00986549">
        <w:rPr>
          <w:lang w:val="ru-RU"/>
        </w:rPr>
        <w:t xml:space="preserve"> объясняет следующий шаг. Если призыв не соответствует реальному действию, возникают ошибки: кнопка «узнать условия» не должна незаметно оформлять платное обязательство.</w:t>
      </w:r>
    </w:p>
    <w:p w14:paraId="3A18CC22" w14:textId="77777777" w:rsidR="007929F0" w:rsidRPr="00986549" w:rsidRDefault="00000000">
      <w:pPr>
        <w:pStyle w:val="21"/>
        <w:rPr>
          <w:lang w:val="ru-RU"/>
        </w:rPr>
      </w:pPr>
      <w:r w:rsidRPr="00986549">
        <w:rPr>
          <w:lang w:val="ru-RU"/>
        </w:rPr>
        <w:t>Источник и доверие</w:t>
      </w:r>
    </w:p>
    <w:p w14:paraId="645C10E3" w14:textId="77777777" w:rsidR="007929F0" w:rsidRPr="00986549" w:rsidRDefault="00000000">
      <w:pPr>
        <w:rPr>
          <w:lang w:val="ru-RU"/>
        </w:rPr>
      </w:pPr>
      <w:r w:rsidRPr="00986549">
        <w:rPr>
          <w:lang w:val="ru-RU"/>
        </w:rPr>
        <w:t>Надежность источника оценивается по компетенции в конкретном вопросе, доступности подтверждений и возможной заинтересованности. Известность не заменяет экспертизу. Отзыв пользователя описывает его опыт, но не доказывает универсальный результат. Коммерческое сотрудничество следует обозначать понятно, а не создавать впечатление независимой оценки.</w:t>
      </w:r>
    </w:p>
    <w:tbl>
      <w:tblPr>
        <w:tblW w:w="0" w:type="auto"/>
        <w:jc w:val="center"/>
        <w:tblLayout w:type="fixed"/>
        <w:tblLook w:val="04A0" w:firstRow="1" w:lastRow="0" w:firstColumn="1" w:lastColumn="0" w:noHBand="0" w:noVBand="1"/>
      </w:tblPr>
      <w:tblGrid>
        <w:gridCol w:w="2154"/>
        <w:gridCol w:w="3402"/>
        <w:gridCol w:w="3855"/>
      </w:tblGrid>
      <w:tr w:rsidR="007929F0" w14:paraId="7E6FE4FB" w14:textId="77777777">
        <w:trPr>
          <w:cantSplit/>
          <w:tblHeader/>
          <w:jc w:val="center"/>
        </w:trPr>
        <w:tc>
          <w:tcPr>
            <w:tcW w:w="2154" w:type="dxa"/>
            <w:shd w:val="clear" w:color="auto" w:fill="254656"/>
            <w:tcMar>
              <w:top w:w="85" w:type="dxa"/>
              <w:left w:w="105" w:type="dxa"/>
              <w:bottom w:w="85" w:type="dxa"/>
              <w:right w:w="105" w:type="dxa"/>
            </w:tcMar>
            <w:vAlign w:val="center"/>
          </w:tcPr>
          <w:p w14:paraId="3B00BAD1" w14:textId="77777777" w:rsidR="007929F0" w:rsidRDefault="00000000">
            <w:pPr>
              <w:pStyle w:val="TableText"/>
            </w:pPr>
            <w:proofErr w:type="spellStart"/>
            <w:r>
              <w:rPr>
                <w:rFonts w:eastAsia="Arial" w:cs="Arial"/>
                <w:b/>
                <w:color w:val="FFFFFF"/>
              </w:rPr>
              <w:t>Элемент</w:t>
            </w:r>
            <w:proofErr w:type="spellEnd"/>
          </w:p>
        </w:tc>
        <w:tc>
          <w:tcPr>
            <w:tcW w:w="3402" w:type="dxa"/>
            <w:shd w:val="clear" w:color="auto" w:fill="254656"/>
            <w:tcMar>
              <w:top w:w="85" w:type="dxa"/>
              <w:left w:w="105" w:type="dxa"/>
              <w:bottom w:w="85" w:type="dxa"/>
              <w:right w:w="105" w:type="dxa"/>
            </w:tcMar>
            <w:vAlign w:val="center"/>
          </w:tcPr>
          <w:p w14:paraId="260BC26A" w14:textId="77777777" w:rsidR="007929F0" w:rsidRDefault="00000000">
            <w:pPr>
              <w:pStyle w:val="TableText"/>
            </w:pPr>
            <w:r>
              <w:rPr>
                <w:rFonts w:eastAsia="Arial" w:cs="Arial"/>
                <w:b/>
                <w:color w:val="FFFFFF"/>
              </w:rPr>
              <w:t>Вопрос контроля</w:t>
            </w:r>
          </w:p>
        </w:tc>
        <w:tc>
          <w:tcPr>
            <w:tcW w:w="3855" w:type="dxa"/>
            <w:shd w:val="clear" w:color="auto" w:fill="254656"/>
            <w:tcMar>
              <w:top w:w="85" w:type="dxa"/>
              <w:left w:w="105" w:type="dxa"/>
              <w:bottom w:w="85" w:type="dxa"/>
              <w:right w:w="105" w:type="dxa"/>
            </w:tcMar>
            <w:vAlign w:val="center"/>
          </w:tcPr>
          <w:p w14:paraId="2C2E11DC" w14:textId="77777777" w:rsidR="007929F0" w:rsidRDefault="00000000">
            <w:pPr>
              <w:pStyle w:val="TableText"/>
            </w:pPr>
            <w:r>
              <w:rPr>
                <w:rFonts w:eastAsia="Arial" w:cs="Arial"/>
                <w:b/>
                <w:color w:val="FFFFFF"/>
              </w:rPr>
              <w:t>Типичная слабость</w:t>
            </w:r>
          </w:p>
        </w:tc>
      </w:tr>
      <w:tr w:rsidR="007929F0" w14:paraId="5F8F2DE4" w14:textId="77777777">
        <w:trPr>
          <w:cantSplit/>
          <w:jc w:val="center"/>
        </w:trPr>
        <w:tc>
          <w:tcPr>
            <w:tcW w:w="2154" w:type="dxa"/>
            <w:shd w:val="clear" w:color="auto" w:fill="F0F5F7"/>
            <w:tcMar>
              <w:top w:w="85" w:type="dxa"/>
              <w:left w:w="105" w:type="dxa"/>
              <w:bottom w:w="85" w:type="dxa"/>
              <w:right w:w="105" w:type="dxa"/>
            </w:tcMar>
            <w:vAlign w:val="center"/>
          </w:tcPr>
          <w:p w14:paraId="25B07D00" w14:textId="77777777" w:rsidR="007929F0" w:rsidRDefault="00000000">
            <w:pPr>
              <w:pStyle w:val="TableText"/>
            </w:pPr>
            <w:r>
              <w:rPr>
                <w:rFonts w:eastAsia="Arial" w:cs="Arial"/>
                <w:color w:val="243B48"/>
              </w:rPr>
              <w:t>Обещание</w:t>
            </w:r>
          </w:p>
        </w:tc>
        <w:tc>
          <w:tcPr>
            <w:tcW w:w="3402" w:type="dxa"/>
            <w:shd w:val="clear" w:color="auto" w:fill="F0F5F7"/>
            <w:tcMar>
              <w:top w:w="85" w:type="dxa"/>
              <w:left w:w="105" w:type="dxa"/>
              <w:bottom w:w="85" w:type="dxa"/>
              <w:right w:w="105" w:type="dxa"/>
            </w:tcMar>
            <w:vAlign w:val="center"/>
          </w:tcPr>
          <w:p w14:paraId="7EB840BD" w14:textId="77777777" w:rsidR="007929F0" w:rsidRDefault="00000000">
            <w:pPr>
              <w:pStyle w:val="TableText"/>
            </w:pPr>
            <w:r>
              <w:rPr>
                <w:rFonts w:eastAsia="Arial" w:cs="Arial"/>
                <w:color w:val="243B48"/>
              </w:rPr>
              <w:t>Что именно получит человек?</w:t>
            </w:r>
          </w:p>
        </w:tc>
        <w:tc>
          <w:tcPr>
            <w:tcW w:w="3855" w:type="dxa"/>
            <w:shd w:val="clear" w:color="auto" w:fill="F0F5F7"/>
            <w:tcMar>
              <w:top w:w="85" w:type="dxa"/>
              <w:left w:w="105" w:type="dxa"/>
              <w:bottom w:w="85" w:type="dxa"/>
              <w:right w:w="105" w:type="dxa"/>
            </w:tcMar>
            <w:vAlign w:val="center"/>
          </w:tcPr>
          <w:p w14:paraId="7D988765" w14:textId="77777777" w:rsidR="007929F0" w:rsidRDefault="00000000">
            <w:pPr>
              <w:pStyle w:val="TableText"/>
            </w:pPr>
            <w:r>
              <w:rPr>
                <w:rFonts w:eastAsia="Arial" w:cs="Arial"/>
                <w:color w:val="243B48"/>
              </w:rPr>
              <w:t>Неопределенное «лучшее решение»</w:t>
            </w:r>
          </w:p>
        </w:tc>
      </w:tr>
      <w:tr w:rsidR="007929F0" w14:paraId="6A1C39DB" w14:textId="77777777">
        <w:trPr>
          <w:cantSplit/>
          <w:jc w:val="center"/>
        </w:trPr>
        <w:tc>
          <w:tcPr>
            <w:tcW w:w="2154" w:type="dxa"/>
            <w:shd w:val="clear" w:color="auto" w:fill="FFFFFF"/>
            <w:tcMar>
              <w:top w:w="85" w:type="dxa"/>
              <w:left w:w="105" w:type="dxa"/>
              <w:bottom w:w="85" w:type="dxa"/>
              <w:right w:w="105" w:type="dxa"/>
            </w:tcMar>
            <w:vAlign w:val="center"/>
          </w:tcPr>
          <w:p w14:paraId="12E07BF1" w14:textId="77777777" w:rsidR="007929F0" w:rsidRDefault="00000000">
            <w:pPr>
              <w:pStyle w:val="TableText"/>
            </w:pPr>
            <w:r>
              <w:rPr>
                <w:rFonts w:eastAsia="Arial" w:cs="Arial"/>
                <w:color w:val="243B48"/>
              </w:rPr>
              <w:t>Основание</w:t>
            </w:r>
          </w:p>
        </w:tc>
        <w:tc>
          <w:tcPr>
            <w:tcW w:w="3402" w:type="dxa"/>
            <w:shd w:val="clear" w:color="auto" w:fill="FFFFFF"/>
            <w:tcMar>
              <w:top w:w="85" w:type="dxa"/>
              <w:left w:w="105" w:type="dxa"/>
              <w:bottom w:w="85" w:type="dxa"/>
              <w:right w:w="105" w:type="dxa"/>
            </w:tcMar>
            <w:vAlign w:val="center"/>
          </w:tcPr>
          <w:p w14:paraId="48FF868C" w14:textId="77777777" w:rsidR="007929F0" w:rsidRDefault="00000000">
            <w:pPr>
              <w:pStyle w:val="TableText"/>
            </w:pPr>
            <w:r>
              <w:rPr>
                <w:rFonts w:eastAsia="Arial" w:cs="Arial"/>
                <w:color w:val="243B48"/>
              </w:rPr>
              <w:t>Чем подтвержден результат?</w:t>
            </w:r>
          </w:p>
        </w:tc>
        <w:tc>
          <w:tcPr>
            <w:tcW w:w="3855" w:type="dxa"/>
            <w:shd w:val="clear" w:color="auto" w:fill="FFFFFF"/>
            <w:tcMar>
              <w:top w:w="85" w:type="dxa"/>
              <w:left w:w="105" w:type="dxa"/>
              <w:bottom w:w="85" w:type="dxa"/>
              <w:right w:w="105" w:type="dxa"/>
            </w:tcMar>
            <w:vAlign w:val="center"/>
          </w:tcPr>
          <w:p w14:paraId="0DD972F8" w14:textId="77777777" w:rsidR="007929F0" w:rsidRDefault="00000000">
            <w:pPr>
              <w:pStyle w:val="TableText"/>
            </w:pPr>
            <w:r>
              <w:rPr>
                <w:rFonts w:eastAsia="Arial" w:cs="Arial"/>
                <w:color w:val="243B48"/>
              </w:rPr>
              <w:t>Непроверяемый эпитет вместо факта</w:t>
            </w:r>
          </w:p>
        </w:tc>
      </w:tr>
      <w:tr w:rsidR="007929F0" w14:paraId="507C8671" w14:textId="77777777">
        <w:trPr>
          <w:cantSplit/>
          <w:jc w:val="center"/>
        </w:trPr>
        <w:tc>
          <w:tcPr>
            <w:tcW w:w="2154" w:type="dxa"/>
            <w:shd w:val="clear" w:color="auto" w:fill="F0F5F7"/>
            <w:tcMar>
              <w:top w:w="85" w:type="dxa"/>
              <w:left w:w="105" w:type="dxa"/>
              <w:bottom w:w="85" w:type="dxa"/>
              <w:right w:w="105" w:type="dxa"/>
            </w:tcMar>
            <w:vAlign w:val="center"/>
          </w:tcPr>
          <w:p w14:paraId="57E47560" w14:textId="77777777" w:rsidR="007929F0" w:rsidRDefault="00000000">
            <w:pPr>
              <w:pStyle w:val="TableText"/>
            </w:pPr>
            <w:r>
              <w:rPr>
                <w:rFonts w:eastAsia="Arial" w:cs="Arial"/>
                <w:color w:val="243B48"/>
              </w:rPr>
              <w:t>Ограничение</w:t>
            </w:r>
          </w:p>
        </w:tc>
        <w:tc>
          <w:tcPr>
            <w:tcW w:w="3402" w:type="dxa"/>
            <w:shd w:val="clear" w:color="auto" w:fill="F0F5F7"/>
            <w:tcMar>
              <w:top w:w="85" w:type="dxa"/>
              <w:left w:w="105" w:type="dxa"/>
              <w:bottom w:w="85" w:type="dxa"/>
              <w:right w:w="105" w:type="dxa"/>
            </w:tcMar>
            <w:vAlign w:val="center"/>
          </w:tcPr>
          <w:p w14:paraId="7277D683" w14:textId="77777777" w:rsidR="007929F0" w:rsidRPr="00986549" w:rsidRDefault="00000000">
            <w:pPr>
              <w:pStyle w:val="TableText"/>
              <w:rPr>
                <w:lang w:val="ru-RU"/>
              </w:rPr>
            </w:pPr>
            <w:r w:rsidRPr="00986549">
              <w:rPr>
                <w:rFonts w:eastAsia="Arial" w:cs="Arial"/>
                <w:color w:val="243B48"/>
                <w:lang w:val="ru-RU"/>
              </w:rPr>
              <w:t>В каких условиях предложение не подходит?</w:t>
            </w:r>
          </w:p>
        </w:tc>
        <w:tc>
          <w:tcPr>
            <w:tcW w:w="3855" w:type="dxa"/>
            <w:shd w:val="clear" w:color="auto" w:fill="F0F5F7"/>
            <w:tcMar>
              <w:top w:w="85" w:type="dxa"/>
              <w:left w:w="105" w:type="dxa"/>
              <w:bottom w:w="85" w:type="dxa"/>
              <w:right w:w="105" w:type="dxa"/>
            </w:tcMar>
            <w:vAlign w:val="center"/>
          </w:tcPr>
          <w:p w14:paraId="7A6D5C58" w14:textId="77777777" w:rsidR="007929F0" w:rsidRDefault="00000000">
            <w:pPr>
              <w:pStyle w:val="TableText"/>
            </w:pPr>
            <w:proofErr w:type="spellStart"/>
            <w:r>
              <w:rPr>
                <w:rFonts w:eastAsia="Arial" w:cs="Arial"/>
                <w:color w:val="243B48"/>
              </w:rPr>
              <w:t>Существенная</w:t>
            </w:r>
            <w:proofErr w:type="spellEnd"/>
            <w:r>
              <w:rPr>
                <w:rFonts w:eastAsia="Arial" w:cs="Arial"/>
                <w:color w:val="243B48"/>
              </w:rPr>
              <w:t xml:space="preserve"> </w:t>
            </w:r>
            <w:proofErr w:type="spellStart"/>
            <w:r>
              <w:rPr>
                <w:rFonts w:eastAsia="Arial" w:cs="Arial"/>
                <w:color w:val="243B48"/>
              </w:rPr>
              <w:t>оговорка</w:t>
            </w:r>
            <w:proofErr w:type="spellEnd"/>
            <w:r>
              <w:rPr>
                <w:rFonts w:eastAsia="Arial" w:cs="Arial"/>
                <w:color w:val="243B48"/>
              </w:rPr>
              <w:t xml:space="preserve"> </w:t>
            </w:r>
            <w:proofErr w:type="spellStart"/>
            <w:r>
              <w:rPr>
                <w:rFonts w:eastAsia="Arial" w:cs="Arial"/>
                <w:color w:val="243B48"/>
              </w:rPr>
              <w:t>скрыта</w:t>
            </w:r>
            <w:proofErr w:type="spellEnd"/>
          </w:p>
        </w:tc>
      </w:tr>
      <w:tr w:rsidR="007929F0" w14:paraId="357DD9E4" w14:textId="77777777">
        <w:trPr>
          <w:cantSplit/>
          <w:jc w:val="center"/>
        </w:trPr>
        <w:tc>
          <w:tcPr>
            <w:tcW w:w="2154" w:type="dxa"/>
            <w:shd w:val="clear" w:color="auto" w:fill="FFFFFF"/>
            <w:tcMar>
              <w:top w:w="85" w:type="dxa"/>
              <w:left w:w="105" w:type="dxa"/>
              <w:bottom w:w="85" w:type="dxa"/>
              <w:right w:w="105" w:type="dxa"/>
            </w:tcMar>
            <w:vAlign w:val="center"/>
          </w:tcPr>
          <w:p w14:paraId="543E7B3C" w14:textId="77777777" w:rsidR="007929F0" w:rsidRDefault="00000000">
            <w:pPr>
              <w:pStyle w:val="TableText"/>
            </w:pPr>
            <w:r>
              <w:rPr>
                <w:rFonts w:eastAsia="Arial" w:cs="Arial"/>
                <w:color w:val="243B48"/>
              </w:rPr>
              <w:t>Следующий шаг</w:t>
            </w:r>
          </w:p>
        </w:tc>
        <w:tc>
          <w:tcPr>
            <w:tcW w:w="3402" w:type="dxa"/>
            <w:shd w:val="clear" w:color="auto" w:fill="FFFFFF"/>
            <w:tcMar>
              <w:top w:w="85" w:type="dxa"/>
              <w:left w:w="105" w:type="dxa"/>
              <w:bottom w:w="85" w:type="dxa"/>
              <w:right w:w="105" w:type="dxa"/>
            </w:tcMar>
            <w:vAlign w:val="center"/>
          </w:tcPr>
          <w:p w14:paraId="7C0A92FF" w14:textId="77777777" w:rsidR="007929F0" w:rsidRDefault="00000000">
            <w:pPr>
              <w:pStyle w:val="TableText"/>
            </w:pPr>
            <w:r>
              <w:rPr>
                <w:rFonts w:eastAsia="Arial" w:cs="Arial"/>
                <w:color w:val="243B48"/>
              </w:rPr>
              <w:t>Что произойдет после действия?</w:t>
            </w:r>
          </w:p>
        </w:tc>
        <w:tc>
          <w:tcPr>
            <w:tcW w:w="3855" w:type="dxa"/>
            <w:shd w:val="clear" w:color="auto" w:fill="FFFFFF"/>
            <w:tcMar>
              <w:top w:w="85" w:type="dxa"/>
              <w:left w:w="105" w:type="dxa"/>
              <w:bottom w:w="85" w:type="dxa"/>
              <w:right w:w="105" w:type="dxa"/>
            </w:tcMar>
            <w:vAlign w:val="center"/>
          </w:tcPr>
          <w:p w14:paraId="3CB6378C" w14:textId="77777777" w:rsidR="007929F0" w:rsidRDefault="00000000">
            <w:pPr>
              <w:pStyle w:val="TableText"/>
            </w:pPr>
            <w:r>
              <w:rPr>
                <w:rFonts w:eastAsia="Arial" w:cs="Arial"/>
                <w:color w:val="243B48"/>
              </w:rPr>
              <w:t>Непонятное обязательство</w:t>
            </w:r>
          </w:p>
        </w:tc>
      </w:tr>
    </w:tbl>
    <w:p w14:paraId="381CC61D" w14:textId="77777777" w:rsidR="007929F0" w:rsidRDefault="007929F0">
      <w:pPr>
        <w:spacing w:after="0"/>
      </w:pPr>
    </w:p>
    <w:p w14:paraId="42E9088C" w14:textId="77777777" w:rsidR="007929F0" w:rsidRDefault="00000000">
      <w:pPr>
        <w:pStyle w:val="21"/>
      </w:pPr>
      <w:r>
        <w:t>Согласованность форматов</w:t>
      </w:r>
    </w:p>
    <w:p w14:paraId="00F9BDAD" w14:textId="77777777" w:rsidR="007929F0" w:rsidRPr="00986549" w:rsidRDefault="00000000">
      <w:pPr>
        <w:rPr>
          <w:lang w:val="ru-RU"/>
        </w:rPr>
      </w:pPr>
      <w:r w:rsidRPr="00986549">
        <w:rPr>
          <w:lang w:val="ru-RU"/>
        </w:rPr>
        <w:t>Объявление, страница, письмо и ответ сотрудника должны использовать одинаковые даты, состав и условия. Если информация обновилась, нужно проверить связанные материалы. Иначе корректное объявление может вести к устаревшей странице, а покупатель получит противоречивые сведения.</w:t>
      </w:r>
    </w:p>
    <w:p w14:paraId="07EE4F06" w14:textId="77777777" w:rsidR="007929F0" w:rsidRPr="00986549" w:rsidRDefault="00000000">
      <w:pPr>
        <w:rPr>
          <w:lang w:val="ru-RU"/>
        </w:rPr>
      </w:pPr>
      <w:r w:rsidRPr="00986549">
        <w:rPr>
          <w:lang w:val="ru-RU"/>
        </w:rPr>
        <w:t>Для контроля полезен реестр утверждений: текст, источник, ответственный, дата проверки и места использования. Он особенно важен для числовых преимуществ и сравнений. Нельзя распространять утверждение только потому, что оно уже использовалось раньше.</w:t>
      </w:r>
    </w:p>
    <w:p w14:paraId="5C5A3CFF" w14:textId="77777777" w:rsidR="007929F0" w:rsidRPr="00986549" w:rsidRDefault="00000000">
      <w:pPr>
        <w:rPr>
          <w:lang w:val="ru-RU"/>
        </w:rPr>
      </w:pPr>
      <w:r w:rsidRPr="00986549">
        <w:rPr>
          <w:lang w:val="ru-RU"/>
        </w:rPr>
        <w:t>Проверка сообщения начинается до оценки привлекательности. Сначала устанавливают фактическую корректность и возможные неверные прочтения. Только после этого сравнивают формулировки, структуру и оформление. Такой порядок экономит ресурсы: нет смысла усиливать выразительность тезиса, который нельзя подтвердить.</w:t>
      </w:r>
    </w:p>
    <w:p w14:paraId="0CE2E13D" w14:textId="77777777" w:rsidR="007929F0" w:rsidRPr="00986549" w:rsidRDefault="00000000">
      <w:pPr>
        <w:pStyle w:val="1"/>
        <w:pageBreakBefore/>
        <w:rPr>
          <w:lang w:val="ru-RU"/>
        </w:rPr>
      </w:pPr>
      <w:r w:rsidRPr="00986549">
        <w:rPr>
          <w:lang w:val="ru-RU"/>
        </w:rPr>
        <w:lastRenderedPageBreak/>
        <w:t>4. Каналы, последовательность и согласование контактов</w:t>
      </w:r>
    </w:p>
    <w:p w14:paraId="76E78DD0" w14:textId="77777777" w:rsidR="007929F0" w:rsidRPr="00986549" w:rsidRDefault="00000000">
      <w:pPr>
        <w:rPr>
          <w:lang w:val="ru-RU"/>
        </w:rPr>
      </w:pPr>
      <w:r w:rsidRPr="00986549">
        <w:rPr>
          <w:lang w:val="ru-RU"/>
        </w:rPr>
        <w:t>Канал выбирают по доступности аудитории, функции сообщения, допустимой глубине и условиям взаимодействия. Реклама может знакомить с предложением, сайт — раскрывать детали, консультация — помогать уточнению, сервисное письмо — сопровождать выполнение. Один канал способен выполнять несколько функций, но это нужно проверить на реальном пути.</w:t>
      </w:r>
    </w:p>
    <w:p w14:paraId="2C386EA8" w14:textId="77777777" w:rsidR="007929F0" w:rsidRPr="00986549" w:rsidRDefault="00000000">
      <w:pPr>
        <w:rPr>
          <w:lang w:val="ru-RU"/>
        </w:rPr>
      </w:pPr>
      <w:r w:rsidRPr="00986549">
        <w:rPr>
          <w:lang w:val="ru-RU"/>
        </w:rPr>
        <w:t>Полезно различать собственные площадки, оплачиваемое размещение и независимые обсуждения. У организации разная степень контроля над их содержанием. Независимый отзыв нельзя считать управляемым рекламным материалом, а оплаченное размещение — выдавать за спонтанное мнение.</w:t>
      </w:r>
    </w:p>
    <w:p w14:paraId="0BF9F3E2" w14:textId="77777777" w:rsidR="007929F0" w:rsidRPr="00986549" w:rsidRDefault="00000000">
      <w:pPr>
        <w:pStyle w:val="21"/>
        <w:rPr>
          <w:lang w:val="ru-RU"/>
        </w:rPr>
      </w:pPr>
      <w:r w:rsidRPr="00986549">
        <w:rPr>
          <w:lang w:val="ru-RU"/>
        </w:rPr>
        <w:t>Последовательность</w:t>
      </w:r>
    </w:p>
    <w:p w14:paraId="0F0DD835" w14:textId="77777777" w:rsidR="007929F0" w:rsidRPr="00986549" w:rsidRDefault="00000000">
      <w:pPr>
        <w:rPr>
          <w:lang w:val="ru-RU"/>
        </w:rPr>
      </w:pPr>
      <w:r w:rsidRPr="00986549">
        <w:rPr>
          <w:lang w:val="ru-RU"/>
        </w:rPr>
        <w:t>План строится вокруг вопросов потребителя, а не только календаря публикаций. Сначала человеку может требоваться понять категорию, затем сравнить, затем уточнить условия. Однако не все начинают с первого сообщения. Каждый материал должен давать достаточный контекст и путь к следующей информации без предположения, что аудитория прочитала всю серию.</w:t>
      </w:r>
    </w:p>
    <w:p w14:paraId="212C1816" w14:textId="77777777" w:rsidR="007929F0" w:rsidRPr="00986549" w:rsidRDefault="00000000">
      <w:pPr>
        <w:pStyle w:val="21"/>
        <w:rPr>
          <w:lang w:val="ru-RU"/>
        </w:rPr>
      </w:pPr>
      <w:r w:rsidRPr="00986549">
        <w:rPr>
          <w:lang w:val="ru-RU"/>
        </w:rPr>
        <w:t>Частота и нагрузка</w:t>
      </w:r>
    </w:p>
    <w:p w14:paraId="33A4CBA0" w14:textId="77777777" w:rsidR="007929F0" w:rsidRPr="00986549" w:rsidRDefault="00000000">
      <w:pPr>
        <w:rPr>
          <w:lang w:val="ru-RU"/>
        </w:rPr>
      </w:pPr>
      <w:r w:rsidRPr="00986549">
        <w:rPr>
          <w:lang w:val="ru-RU"/>
        </w:rPr>
        <w:t>Повторение способно поддерживать доступность информации, но количество контактов не является самостоятельной ценностью. Важно, не становятся ли сообщения лишними после покупки, отказа или изменения потребности. Для согласованных персональных каналов нужно учитывать предпочтения и понятный способ прекращения коммуникации.</w:t>
      </w:r>
    </w:p>
    <w:p w14:paraId="5424857A" w14:textId="77777777" w:rsidR="007929F0" w:rsidRPr="00986549" w:rsidRDefault="00000000">
      <w:pPr>
        <w:rPr>
          <w:lang w:val="ru-RU"/>
        </w:rPr>
      </w:pPr>
      <w:r w:rsidRPr="00986549">
        <w:rPr>
          <w:lang w:val="ru-RU"/>
        </w:rPr>
        <w:t>Если клиент уже сообщил о проблеме, автоматическая рекламная серия может оказаться неуместной. Координация требует связи коммуникационного плана с состоянием обслуживания. Это не только вопрос тона: система должна знать, когда сначала необходимо решить затруднение.</w:t>
      </w:r>
    </w:p>
    <w:p w14:paraId="182176AF" w14:textId="77777777" w:rsidR="007929F0" w:rsidRPr="00986549" w:rsidRDefault="00000000">
      <w:pPr>
        <w:pStyle w:val="21"/>
        <w:rPr>
          <w:lang w:val="ru-RU"/>
        </w:rPr>
      </w:pPr>
      <w:r w:rsidRPr="00986549">
        <w:rPr>
          <w:lang w:val="ru-RU"/>
        </w:rPr>
        <w:t>Интеграция с предложением</w:t>
      </w:r>
    </w:p>
    <w:p w14:paraId="56D2D77D" w14:textId="77777777" w:rsidR="007929F0" w:rsidRPr="00986549" w:rsidRDefault="00000000">
      <w:pPr>
        <w:rPr>
          <w:lang w:val="ru-RU"/>
        </w:rPr>
      </w:pPr>
      <w:r w:rsidRPr="00986549">
        <w:rPr>
          <w:lang w:val="ru-RU"/>
        </w:rPr>
        <w:t>Стимулирование не заменяет объяснение, а полезный контент не компенсирует отсутствие товара. Перед кампанией проверяют наличие, возможности поддержки и реалистичность сроков. Иначе успешное привлечение создаст нагрузку, которую организация не сможет обслужить.</w:t>
      </w:r>
    </w:p>
    <w:p w14:paraId="71A1ADEC" w14:textId="77777777" w:rsidR="007929F0" w:rsidRPr="00986549" w:rsidRDefault="00000000">
      <w:pPr>
        <w:rPr>
          <w:lang w:val="ru-RU"/>
        </w:rPr>
      </w:pPr>
      <w:r w:rsidRPr="00986549">
        <w:rPr>
          <w:lang w:val="ru-RU"/>
        </w:rPr>
        <w:t xml:space="preserve">В докладе </w:t>
      </w:r>
      <w:r>
        <w:t>OECD</w:t>
      </w:r>
      <w:r w:rsidRPr="00986549">
        <w:rPr>
          <w:lang w:val="ru-RU"/>
        </w:rPr>
        <w:t xml:space="preserve"> о темных коммерческих паттернах рассматриваются приемы, способные ухудшать самостоятельность решения [3]. В учебном планировании это основание отказаться от фиктивного дефицита, скрытых обязательств и затрудненного выхода. Конкретные правила рекламы и данных проверяются отдельно для страны реализации.</w:t>
      </w:r>
    </w:p>
    <w:p w14:paraId="629A3CEE" w14:textId="77777777" w:rsidR="007929F0" w:rsidRPr="00986549" w:rsidRDefault="00000000">
      <w:pPr>
        <w:rPr>
          <w:lang w:val="ru-RU"/>
        </w:rPr>
      </w:pPr>
      <w:r w:rsidRPr="00986549">
        <w:rPr>
          <w:lang w:val="ru-RU"/>
        </w:rPr>
        <w:t>Итоговый медиаплан должен объяснять роль контакта: какой вопрос он закрывает, на каком этапе, с каким доказательством и каким показателем. Перечень популярных каналов без этой связи не является завершенной коммуникационной стратегией.</w:t>
      </w:r>
    </w:p>
    <w:p w14:paraId="52205C96" w14:textId="77777777" w:rsidR="007929F0" w:rsidRPr="00986549" w:rsidRDefault="00000000">
      <w:pPr>
        <w:pStyle w:val="1"/>
        <w:pageBreakBefore/>
        <w:rPr>
          <w:lang w:val="ru-RU"/>
        </w:rPr>
      </w:pPr>
      <w:r w:rsidRPr="00986549">
        <w:rPr>
          <w:lang w:val="ru-RU"/>
        </w:rPr>
        <w:lastRenderedPageBreak/>
        <w:t>5. Оценка коммуникации и проверка гипотез</w:t>
      </w:r>
    </w:p>
    <w:p w14:paraId="3E8CD66F" w14:textId="77777777" w:rsidR="007929F0" w:rsidRPr="00986549" w:rsidRDefault="00000000">
      <w:pPr>
        <w:rPr>
          <w:lang w:val="ru-RU"/>
        </w:rPr>
      </w:pPr>
      <w:r w:rsidRPr="00986549">
        <w:rPr>
          <w:lang w:val="ru-RU"/>
        </w:rPr>
        <w:t>Показатель выбирают после цели. Охват описывает число уникальных объектов контакта при принятом способе учета, показы — число предъявлений, переходы — зарегистрированные действия. Эти величины не следует смешивать. Один человек может увидеть сообщение несколько раз, а переход не обязательно означает внимательное чтение.</w:t>
      </w:r>
    </w:p>
    <w:p w14:paraId="3C0B4866" w14:textId="77777777" w:rsidR="007929F0" w:rsidRPr="00986549" w:rsidRDefault="00000000">
      <w:pPr>
        <w:rPr>
          <w:lang w:val="ru-RU"/>
        </w:rPr>
      </w:pPr>
      <w:r>
        <w:t>CTR</w:t>
      </w:r>
      <w:r w:rsidRPr="00986549">
        <w:rPr>
          <w:lang w:val="ru-RU"/>
        </w:rPr>
        <w:t xml:space="preserve"> в учебном расчете — отношение кликов к показам. Конверсия может рассчитываться от посетителей, участников теста или начавших оформление; знаменатель нужно указывать. Две одинаково названные «конверсии» могут измерять разные переходы и быть несопоставимыми.</w:t>
      </w:r>
    </w:p>
    <w:p w14:paraId="17E5565C" w14:textId="77777777" w:rsidR="007929F0" w:rsidRPr="00986549" w:rsidRDefault="00000000">
      <w:pPr>
        <w:pStyle w:val="21"/>
        <w:rPr>
          <w:lang w:val="ru-RU"/>
        </w:rPr>
      </w:pPr>
      <w:r w:rsidRPr="00986549">
        <w:rPr>
          <w:lang w:val="ru-RU"/>
        </w:rPr>
        <w:t>Понимание и предпочтение</w:t>
      </w:r>
    </w:p>
    <w:p w14:paraId="542ED113" w14:textId="77777777" w:rsidR="007929F0" w:rsidRPr="00986549" w:rsidRDefault="00000000">
      <w:pPr>
        <w:rPr>
          <w:lang w:val="ru-RU"/>
        </w:rPr>
      </w:pPr>
      <w:r w:rsidRPr="00986549">
        <w:rPr>
          <w:lang w:val="ru-RU"/>
        </w:rPr>
        <w:t>Понимание проверяют пересказом существенных условий и выполнением задачи. Предпочтение — выбором между релевантными альтернативами при одинаковой информации. Нельзя подсказывать правильную оценку формулировкой вопроса или показывать только привлекательные стороны одного варианта.</w:t>
      </w:r>
    </w:p>
    <w:p w14:paraId="2317B4F3" w14:textId="77777777" w:rsidR="007929F0" w:rsidRPr="00986549" w:rsidRDefault="00000000">
      <w:pPr>
        <w:rPr>
          <w:lang w:val="ru-RU"/>
        </w:rPr>
      </w:pPr>
      <w:r w:rsidRPr="00986549">
        <w:rPr>
          <w:lang w:val="ru-RU"/>
        </w:rPr>
        <w:t>Для проверки сообщения полезно заранее назвать гипотезу: «ясное описание состава уменьшит ошибочные ожидания». Тогда основной результат — правильность понимания, а не только клики. Покупки и обращения дополняют картину, но не заменяют проверку механизма.</w:t>
      </w:r>
    </w:p>
    <w:p w14:paraId="5F858918" w14:textId="77777777" w:rsidR="007929F0" w:rsidRPr="00986549" w:rsidRDefault="00000000">
      <w:pPr>
        <w:pStyle w:val="21"/>
        <w:rPr>
          <w:lang w:val="ru-RU"/>
        </w:rPr>
      </w:pPr>
      <w:r w:rsidRPr="00986549">
        <w:rPr>
          <w:lang w:val="ru-RU"/>
        </w:rPr>
        <w:t>Эксперимент и наблюдательное сравнение</w:t>
      </w:r>
    </w:p>
    <w:p w14:paraId="20E94E1D" w14:textId="77777777" w:rsidR="007929F0" w:rsidRPr="00986549" w:rsidRDefault="00000000">
      <w:pPr>
        <w:rPr>
          <w:lang w:val="ru-RU"/>
        </w:rPr>
      </w:pPr>
      <w:r w:rsidRPr="00986549">
        <w:rPr>
          <w:lang w:val="ru-RU"/>
        </w:rPr>
        <w:t>При случайном распределении версий можно более обоснованно сравнивать их влияние, если соблюдены условия учета и нет существенных нарушений. Если один текст показан знакомым клиентам, а другой новой аудитории, различие не объясняется только сообщением. Также нельзя одновременно изменить цену и креатив, а весь результат приписать словам.</w:t>
      </w:r>
    </w:p>
    <w:p w14:paraId="316673B2" w14:textId="77777777" w:rsidR="007929F0" w:rsidRPr="00986549" w:rsidRDefault="00000000">
      <w:pPr>
        <w:rPr>
          <w:lang w:val="ru-RU"/>
        </w:rPr>
      </w:pPr>
      <w:r w:rsidRPr="00986549">
        <w:rPr>
          <w:lang w:val="ru-RU"/>
        </w:rPr>
        <w:t>Небольшая разница в долях может быть случайной. Поэтому важны размер данных, неопределенность и заранее согласованная процедура. Не следует прекращать тест в первый момент, когда желательная версия выглядит лучше, если дизайн не предусматривает корректного последовательного анализа.</w:t>
      </w:r>
    </w:p>
    <w:p w14:paraId="4271403E" w14:textId="77777777" w:rsidR="007929F0" w:rsidRPr="00986549" w:rsidRDefault="00000000">
      <w:pPr>
        <w:pStyle w:val="21"/>
        <w:rPr>
          <w:lang w:val="ru-RU"/>
        </w:rPr>
      </w:pPr>
      <w:r w:rsidRPr="00986549">
        <w:rPr>
          <w:lang w:val="ru-RU"/>
        </w:rPr>
        <w:t>Экономика и качество</w:t>
      </w:r>
    </w:p>
    <w:p w14:paraId="0DBA566E" w14:textId="77777777" w:rsidR="007929F0" w:rsidRPr="00986549" w:rsidRDefault="00000000">
      <w:pPr>
        <w:rPr>
          <w:lang w:val="ru-RU"/>
        </w:rPr>
      </w:pPr>
      <w:r w:rsidRPr="00986549">
        <w:rPr>
          <w:lang w:val="ru-RU"/>
        </w:rPr>
        <w:t>Результат коммуникации оценивают с учетом затрат, маржинального вклада, возвратов и качества использования. Дешевые клики не являются преимуществом, если приводят неподходящую аудиторию. Высокая первая конверсия не оправдывает ошибочные ожидания.</w:t>
      </w:r>
    </w:p>
    <w:p w14:paraId="40926D83" w14:textId="77777777" w:rsidR="007929F0" w:rsidRPr="00986549" w:rsidRDefault="00000000">
      <w:pPr>
        <w:rPr>
          <w:lang w:val="ru-RU"/>
        </w:rPr>
      </w:pPr>
      <w:r w:rsidRPr="00986549">
        <w:rPr>
          <w:lang w:val="ru-RU"/>
        </w:rPr>
        <w:t>В отчете показывают полную цепочку и ограничения: что сделали, кто увидел, что понял, какие действия произошли и что еще не доказано. Такой формат позволяет выбрать следующую доработку без превращения одной эффектной метрики в общий вердикт об успехе кампании.</w:t>
      </w:r>
    </w:p>
    <w:p w14:paraId="4C80133B" w14:textId="77777777" w:rsidR="007929F0" w:rsidRPr="00986549" w:rsidRDefault="00000000">
      <w:pPr>
        <w:pStyle w:val="1"/>
        <w:pageBreakBefore/>
        <w:rPr>
          <w:lang w:val="ru-RU"/>
        </w:rPr>
      </w:pPr>
      <w:r w:rsidRPr="00986549">
        <w:rPr>
          <w:lang w:val="ru-RU"/>
        </w:rPr>
        <w:lastRenderedPageBreak/>
        <w:t>6. Разобранный кейс: больше кликов — меньше покупок</w:t>
      </w:r>
    </w:p>
    <w:p w14:paraId="686E93B3" w14:textId="77777777" w:rsidR="007929F0" w:rsidRPr="00986549" w:rsidRDefault="00000000">
      <w:pPr>
        <w:pStyle w:val="Small"/>
        <w:rPr>
          <w:lang w:val="ru-RU"/>
        </w:rPr>
      </w:pPr>
      <w:r w:rsidRPr="00986549">
        <w:rPr>
          <w:lang w:val="ru-RU"/>
        </w:rPr>
        <w:t>Данные вымышлены. Для учебного расчета предполагается по одному показу каждому из 1 000 участников в каждой случайно сформированной группе и полный учет действий.</w:t>
      </w:r>
    </w:p>
    <w:p w14:paraId="75252EFD" w14:textId="77777777" w:rsidR="007929F0" w:rsidRPr="00986549" w:rsidRDefault="00000000">
      <w:pPr>
        <w:rPr>
          <w:lang w:val="ru-RU"/>
        </w:rPr>
      </w:pPr>
      <w:r w:rsidRPr="00986549">
        <w:rPr>
          <w:lang w:val="ru-RU"/>
        </w:rPr>
        <w:t>Вариант А использует широкий заголовок «Все для удобного дома». Вариант Б конкретно описывает набор для хранения документов и его состав. В группе А зарегистрировано 120 переходов и 18 покупок, в группе Б — 90 переходов и 27 покупок. Условия продукта и цены одинаковы.</w:t>
      </w:r>
    </w:p>
    <w:p w14:paraId="2E888E81" w14:textId="77777777" w:rsidR="007929F0" w:rsidRPr="00986549" w:rsidRDefault="00000000">
      <w:pPr>
        <w:pStyle w:val="21"/>
        <w:rPr>
          <w:lang w:val="ru-RU"/>
        </w:rPr>
      </w:pPr>
      <w:r w:rsidRPr="00986549">
        <w:rPr>
          <w:lang w:val="ru-RU"/>
        </w:rPr>
        <w:t>Расчеты</w:t>
      </w:r>
    </w:p>
    <w:p w14:paraId="47CFC899" w14:textId="77777777" w:rsidR="007929F0" w:rsidRPr="00986549" w:rsidRDefault="00000000">
      <w:pPr>
        <w:rPr>
          <w:lang w:val="ru-RU"/>
        </w:rPr>
      </w:pPr>
      <w:r w:rsidRPr="00986549">
        <w:rPr>
          <w:lang w:val="ru-RU"/>
        </w:rPr>
        <w:t>Доля переходов составляет 12% для А и 9% для Б. Доля покупок среди всех участников — 1,8% и 2,7%; разница 0,9 процентного пункта. Конверсия среди перешедших — 18 / 120 = 15% и 27 / 90 = 30%. Последний показатель относится к отобранной действием группе и не заменяет сравнение всех распределенных участников.</w:t>
      </w:r>
    </w:p>
    <w:p w14:paraId="094F7857" w14:textId="77777777" w:rsidR="007929F0" w:rsidRPr="00986549" w:rsidRDefault="00000000">
      <w:pPr>
        <w:pStyle w:val="21"/>
        <w:rPr>
          <w:lang w:val="ru-RU"/>
        </w:rPr>
      </w:pPr>
      <w:r w:rsidRPr="00986549">
        <w:rPr>
          <w:lang w:val="ru-RU"/>
        </w:rPr>
        <w:t>Интерпретация</w:t>
      </w:r>
    </w:p>
    <w:p w14:paraId="48C86484" w14:textId="77777777" w:rsidR="007929F0" w:rsidRPr="00986549" w:rsidRDefault="00000000">
      <w:pPr>
        <w:rPr>
          <w:lang w:val="ru-RU"/>
        </w:rPr>
      </w:pPr>
      <w:r w:rsidRPr="00986549">
        <w:rPr>
          <w:lang w:val="ru-RU"/>
        </w:rPr>
        <w:t>А привлек больше переходов, но Б в данном наборе связан с большим числом покупок. Возможная гипотеза — конкретное сообщение лучше обозначает соответствие и уменьшает нерелевантные переходы. Однако одних чисел недостаточно для уверенного вывода о механизме и статистической надежности. Нужно проверить понимание, баланс условий и неопределенность результата.</w:t>
      </w:r>
    </w:p>
    <w:p w14:paraId="4AC4FDA9" w14:textId="77777777" w:rsidR="007929F0" w:rsidRPr="00986549" w:rsidRDefault="00000000">
      <w:pPr>
        <w:pStyle w:val="21"/>
        <w:rPr>
          <w:lang w:val="ru-RU"/>
        </w:rPr>
      </w:pPr>
      <w:r w:rsidRPr="00986549">
        <w:rPr>
          <w:lang w:val="ru-RU"/>
        </w:rPr>
        <w:t>Экономическая иллюстрация</w:t>
      </w:r>
    </w:p>
    <w:p w14:paraId="024410D8" w14:textId="77777777" w:rsidR="007929F0" w:rsidRPr="00986549" w:rsidRDefault="00000000">
      <w:pPr>
        <w:rPr>
          <w:lang w:val="ru-RU"/>
        </w:rPr>
      </w:pPr>
      <w:r w:rsidRPr="00986549">
        <w:rPr>
          <w:lang w:val="ru-RU"/>
        </w:rPr>
        <w:t xml:space="preserve">Если условный вклад одной покупки до затрат на размещение равен 3 000 </w:t>
      </w:r>
      <w:proofErr w:type="spellStart"/>
      <w:r w:rsidRPr="00986549">
        <w:rPr>
          <w:lang w:val="ru-RU"/>
        </w:rPr>
        <w:t>тг</w:t>
      </w:r>
      <w:proofErr w:type="spellEnd"/>
      <w:r w:rsidRPr="00986549">
        <w:rPr>
          <w:lang w:val="ru-RU"/>
        </w:rPr>
        <w:t xml:space="preserve">, а размещение каждой версии стоит 20 000 </w:t>
      </w:r>
      <w:proofErr w:type="spellStart"/>
      <w:r w:rsidRPr="00986549">
        <w:rPr>
          <w:lang w:val="ru-RU"/>
        </w:rPr>
        <w:t>тг</w:t>
      </w:r>
      <w:proofErr w:type="spellEnd"/>
      <w:r w:rsidRPr="00986549">
        <w:rPr>
          <w:lang w:val="ru-RU"/>
        </w:rPr>
        <w:t xml:space="preserve">, наблюдаемый вклад после этих затрат составляет 34 000 </w:t>
      </w:r>
      <w:proofErr w:type="spellStart"/>
      <w:r w:rsidRPr="00986549">
        <w:rPr>
          <w:lang w:val="ru-RU"/>
        </w:rPr>
        <w:t>тг</w:t>
      </w:r>
      <w:proofErr w:type="spellEnd"/>
      <w:r w:rsidRPr="00986549">
        <w:rPr>
          <w:lang w:val="ru-RU"/>
        </w:rPr>
        <w:t xml:space="preserve"> для А и 61 000 </w:t>
      </w:r>
      <w:proofErr w:type="spellStart"/>
      <w:r w:rsidRPr="00986549">
        <w:rPr>
          <w:lang w:val="ru-RU"/>
        </w:rPr>
        <w:t>тг</w:t>
      </w:r>
      <w:proofErr w:type="spellEnd"/>
      <w:r w:rsidRPr="00986549">
        <w:rPr>
          <w:lang w:val="ru-RU"/>
        </w:rPr>
        <w:t xml:space="preserve"> для Б. Это расчет данного теста, а не прогноз будущей кампании. Возвраты и другие расходы в примере не учтены.</w:t>
      </w:r>
    </w:p>
    <w:p w14:paraId="0846D6C9" w14:textId="77777777" w:rsidR="007929F0" w:rsidRPr="00986549" w:rsidRDefault="00000000">
      <w:pPr>
        <w:pStyle w:val="21"/>
        <w:rPr>
          <w:lang w:val="ru-RU"/>
        </w:rPr>
      </w:pPr>
      <w:r w:rsidRPr="00986549">
        <w:rPr>
          <w:lang w:val="ru-RU"/>
        </w:rPr>
        <w:t>Следующий шаг</w:t>
      </w:r>
    </w:p>
    <w:p w14:paraId="20AA85DC" w14:textId="77777777" w:rsidR="007929F0" w:rsidRPr="00986549" w:rsidRDefault="00000000">
      <w:pPr>
        <w:rPr>
          <w:lang w:val="ru-RU"/>
        </w:rPr>
      </w:pPr>
      <w:r w:rsidRPr="00986549">
        <w:rPr>
          <w:lang w:val="ru-RU"/>
        </w:rPr>
        <w:t xml:space="preserve">Команда не выбирает А только за высокий </w:t>
      </w:r>
      <w:r>
        <w:t>CTR</w:t>
      </w:r>
      <w:r w:rsidRPr="00986549">
        <w:rPr>
          <w:lang w:val="ru-RU"/>
        </w:rPr>
        <w:t>. Она рассматривает Б как вариант для дальнейшей проверки, анализирует понимание и последующий опыт и оценивает достаточность данных. Нельзя объявлять доказанный долгосрочный рост лояльности: такой результат не измерялся.</w:t>
      </w:r>
    </w:p>
    <w:p w14:paraId="48DE132B" w14:textId="77777777" w:rsidR="007929F0" w:rsidRPr="00986549" w:rsidRDefault="00000000">
      <w:pPr>
        <w:rPr>
          <w:lang w:val="ru-RU"/>
        </w:rPr>
      </w:pPr>
      <w:r w:rsidRPr="00986549">
        <w:rPr>
          <w:lang w:val="ru-RU"/>
        </w:rPr>
        <w:t>Кейс показывает, почему коммуникацию нужно оценивать относительно потребительской задачи и бизнес-результата. Большое число переходов полезно лишь тогда, когда за ним стоит релевантное и правильно понятое предложение.</w:t>
      </w:r>
    </w:p>
    <w:p w14:paraId="0A922371" w14:textId="77777777" w:rsidR="007929F0" w:rsidRPr="00986549" w:rsidRDefault="00000000">
      <w:pPr>
        <w:pStyle w:val="1"/>
        <w:pageBreakBefore/>
        <w:rPr>
          <w:lang w:val="ru-RU"/>
        </w:rPr>
      </w:pPr>
      <w:r w:rsidRPr="00986549">
        <w:rPr>
          <w:lang w:val="ru-RU"/>
        </w:rPr>
        <w:lastRenderedPageBreak/>
        <w:t>7. Самопроверка и самостоятельная работа</w:t>
      </w:r>
    </w:p>
    <w:p w14:paraId="23665482" w14:textId="77777777" w:rsidR="007929F0" w:rsidRPr="00986549" w:rsidRDefault="00000000">
      <w:pPr>
        <w:pStyle w:val="Question"/>
        <w:rPr>
          <w:lang w:val="ru-RU"/>
        </w:rPr>
      </w:pPr>
      <w:r w:rsidRPr="00986549">
        <w:rPr>
          <w:lang w:val="ru-RU"/>
        </w:rPr>
        <w:t>1. Почему коммуникационная цель не равняется числу публикаций?</w:t>
      </w:r>
    </w:p>
    <w:p w14:paraId="27C4CA62" w14:textId="77777777" w:rsidR="007929F0" w:rsidRPr="00986549" w:rsidRDefault="00000000">
      <w:pPr>
        <w:rPr>
          <w:lang w:val="ru-RU"/>
        </w:rPr>
      </w:pPr>
      <w:r w:rsidRPr="00986549">
        <w:rPr>
          <w:lang w:val="ru-RU"/>
        </w:rPr>
        <w:t>Ориентир: публикации — выполненная активность. Цель может касаться понимания, сравнения или действия и требует отдельной проверки результата у аудитории.</w:t>
      </w:r>
    </w:p>
    <w:p w14:paraId="4394CC32" w14:textId="77777777" w:rsidR="007929F0" w:rsidRPr="00986549" w:rsidRDefault="00000000">
      <w:pPr>
        <w:pStyle w:val="Question"/>
        <w:rPr>
          <w:lang w:val="ru-RU"/>
        </w:rPr>
      </w:pPr>
      <w:r w:rsidRPr="00986549">
        <w:rPr>
          <w:lang w:val="ru-RU"/>
        </w:rPr>
        <w:t>2. Как соотносятся аргумент и эмоциональный смысл?</w:t>
      </w:r>
    </w:p>
    <w:p w14:paraId="3E6A75A7" w14:textId="77777777" w:rsidR="007929F0" w:rsidRPr="00986549" w:rsidRDefault="00000000">
      <w:pPr>
        <w:rPr>
          <w:lang w:val="ru-RU"/>
        </w:rPr>
      </w:pPr>
      <w:r w:rsidRPr="00986549">
        <w:rPr>
          <w:lang w:val="ru-RU"/>
        </w:rPr>
        <w:t>Ориентир: они могут дополняться. Эмоция показывает значимость ситуации, а аргумент подтверждает обещание. Ни один формат не освобождает от достоверности и раскрытия ограничений.</w:t>
      </w:r>
    </w:p>
    <w:p w14:paraId="15305931" w14:textId="77777777" w:rsidR="007929F0" w:rsidRPr="00986549" w:rsidRDefault="00000000">
      <w:pPr>
        <w:pStyle w:val="Question"/>
        <w:rPr>
          <w:lang w:val="ru-RU"/>
        </w:rPr>
      </w:pPr>
      <w:r w:rsidRPr="00986549">
        <w:rPr>
          <w:lang w:val="ru-RU"/>
        </w:rPr>
        <w:t>3. Почему известный автор не является доказательством качества?</w:t>
      </w:r>
    </w:p>
    <w:p w14:paraId="7ADA7840" w14:textId="77777777" w:rsidR="007929F0" w:rsidRPr="00986549" w:rsidRDefault="00000000">
      <w:pPr>
        <w:rPr>
          <w:lang w:val="ru-RU"/>
        </w:rPr>
      </w:pPr>
      <w:r w:rsidRPr="00986549">
        <w:rPr>
          <w:lang w:val="ru-RU"/>
        </w:rPr>
        <w:t>Ориентир: компетенция зависит от вопроса, а рекомендация может отражать личный опыт или коммерческую заинтересованность. Нужны релевантные подтверждения.</w:t>
      </w:r>
    </w:p>
    <w:p w14:paraId="2A442C15" w14:textId="77777777" w:rsidR="007929F0" w:rsidRPr="00986549" w:rsidRDefault="00000000">
      <w:pPr>
        <w:pStyle w:val="Question"/>
        <w:rPr>
          <w:lang w:val="ru-RU"/>
        </w:rPr>
      </w:pPr>
      <w:r w:rsidRPr="00986549">
        <w:rPr>
          <w:lang w:val="ru-RU"/>
        </w:rPr>
        <w:t xml:space="preserve">4. Что может объяснять высокий </w:t>
      </w:r>
      <w:r>
        <w:t>CTR</w:t>
      </w:r>
      <w:r w:rsidRPr="00986549">
        <w:rPr>
          <w:lang w:val="ru-RU"/>
        </w:rPr>
        <w:t xml:space="preserve"> при низкой доле покупок?</w:t>
      </w:r>
    </w:p>
    <w:p w14:paraId="145BECC9" w14:textId="77777777" w:rsidR="007929F0" w:rsidRPr="00986549" w:rsidRDefault="00000000">
      <w:pPr>
        <w:rPr>
          <w:lang w:val="ru-RU"/>
        </w:rPr>
      </w:pPr>
      <w:r w:rsidRPr="00986549">
        <w:rPr>
          <w:lang w:val="ru-RU"/>
        </w:rPr>
        <w:t xml:space="preserve">Ориентир: широкое или неопределенное обещание, нерелевантная аудитория, несоответствие страницы, условия и другие барьеры. Высокий </w:t>
      </w:r>
      <w:r>
        <w:t>CTR</w:t>
      </w:r>
      <w:r w:rsidRPr="00986549">
        <w:rPr>
          <w:lang w:val="ru-RU"/>
        </w:rPr>
        <w:t xml:space="preserve"> не раскрывает причину автоматически.</w:t>
      </w:r>
    </w:p>
    <w:p w14:paraId="2597959E" w14:textId="77777777" w:rsidR="007929F0" w:rsidRPr="00986549" w:rsidRDefault="00000000">
      <w:pPr>
        <w:pStyle w:val="Question"/>
        <w:rPr>
          <w:lang w:val="ru-RU"/>
        </w:rPr>
      </w:pPr>
      <w:r w:rsidRPr="00986549">
        <w:rPr>
          <w:lang w:val="ru-RU"/>
        </w:rPr>
        <w:t>5. Зачем сравнивать всех распределенных участников теста?</w:t>
      </w:r>
    </w:p>
    <w:p w14:paraId="43538386" w14:textId="77777777" w:rsidR="007929F0" w:rsidRPr="00986549" w:rsidRDefault="00000000">
      <w:pPr>
        <w:rPr>
          <w:lang w:val="ru-RU"/>
        </w:rPr>
      </w:pPr>
      <w:r w:rsidRPr="00986549">
        <w:rPr>
          <w:lang w:val="ru-RU"/>
        </w:rPr>
        <w:t>Ориентир: сравнение только перешедших учитывает уже отобранные действием группы. Основная оценка должна соответствовать заранее определенной единице распределения и показателю.</w:t>
      </w:r>
    </w:p>
    <w:p w14:paraId="75E97D33" w14:textId="77777777" w:rsidR="007929F0" w:rsidRPr="00986549" w:rsidRDefault="00000000">
      <w:pPr>
        <w:pStyle w:val="21"/>
        <w:rPr>
          <w:lang w:val="ru-RU"/>
        </w:rPr>
      </w:pPr>
      <w:r w:rsidRPr="00986549">
        <w:rPr>
          <w:lang w:val="ru-RU"/>
        </w:rPr>
        <w:t>Самостоятельное задание</w:t>
      </w:r>
    </w:p>
    <w:p w14:paraId="1974FF59" w14:textId="77777777" w:rsidR="007929F0" w:rsidRPr="00986549" w:rsidRDefault="00000000">
      <w:pPr>
        <w:rPr>
          <w:lang w:val="ru-RU"/>
        </w:rPr>
      </w:pPr>
      <w:r w:rsidRPr="00986549">
        <w:rPr>
          <w:lang w:val="ru-RU"/>
        </w:rPr>
        <w:t>Подготовьте коммуникационный бриф для вымышленного продукта. Укажите аудиторию, задачу, барьер, одно обещание, два подтверждения и существенное ограничение. Создайте два сообщения длиной по 60–90 слов и объясните, какое различие проверяется. Выберите канал и три показателя разных уровней.</w:t>
      </w:r>
    </w:p>
    <w:p w14:paraId="3874A983" w14:textId="77777777" w:rsidR="007929F0" w:rsidRPr="00986549" w:rsidRDefault="00000000">
      <w:pPr>
        <w:rPr>
          <w:lang w:val="ru-RU"/>
        </w:rPr>
      </w:pPr>
      <w:r w:rsidRPr="00986549">
        <w:rPr>
          <w:lang w:val="ru-RU"/>
        </w:rPr>
        <w:t>Общий объем — 700–900 слов. Не требуется размещать рекламу. Дополнительно укажите, какое наблюдение заставит отказаться от выбранной формулировки.</w:t>
      </w:r>
    </w:p>
    <w:p w14:paraId="6E97D88F" w14:textId="77777777" w:rsidR="007929F0" w:rsidRPr="00986549" w:rsidRDefault="00000000">
      <w:pPr>
        <w:pStyle w:val="21"/>
        <w:rPr>
          <w:lang w:val="ru-RU"/>
        </w:rPr>
      </w:pPr>
      <w:r w:rsidRPr="00986549">
        <w:rPr>
          <w:lang w:val="ru-RU"/>
        </w:rPr>
        <w:t>Критерии качества</w:t>
      </w:r>
    </w:p>
    <w:p w14:paraId="525BDB36" w14:textId="77777777" w:rsidR="007929F0" w:rsidRPr="00986549" w:rsidRDefault="00000000">
      <w:pPr>
        <w:rPr>
          <w:lang w:val="ru-RU"/>
        </w:rPr>
      </w:pPr>
      <w:r w:rsidRPr="00986549">
        <w:rPr>
          <w:lang w:val="ru-RU"/>
        </w:rPr>
        <w:t>Связь цели и сообщения — 30%; доказательность — 25%; выбор каналов и показателей — 25%; корректность проверки — 20%.</w:t>
      </w:r>
    </w:p>
    <w:p w14:paraId="28F58ACC" w14:textId="77777777" w:rsidR="007929F0" w:rsidRPr="00986549" w:rsidRDefault="00000000">
      <w:pPr>
        <w:pStyle w:val="1"/>
        <w:pageBreakBefore/>
        <w:rPr>
          <w:lang w:val="ru-RU"/>
        </w:rPr>
      </w:pPr>
      <w:r w:rsidRPr="00986549">
        <w:rPr>
          <w:lang w:val="ru-RU"/>
        </w:rPr>
        <w:lastRenderedPageBreak/>
        <w:t>8. Итоги и опорные понятия</w:t>
      </w:r>
    </w:p>
    <w:p w14:paraId="6EDA8854" w14:textId="77777777" w:rsidR="007929F0" w:rsidRPr="00986549" w:rsidRDefault="00000000">
      <w:pPr>
        <w:rPr>
          <w:lang w:val="ru-RU"/>
        </w:rPr>
      </w:pPr>
      <w:r w:rsidRPr="00986549">
        <w:rPr>
          <w:lang w:val="ru-RU"/>
        </w:rPr>
        <w:t>Коммуникация помогает потребителю понять предложение и принять решение в соответствии с задачей. Ее качество определяется согласованностью обещания, доказательства, условий и реального опыта. Внимание необходимо, но недостаточно: важно, что человек понял и какое действие последовало.</w:t>
      </w:r>
    </w:p>
    <w:p w14:paraId="50ACDEA6" w14:textId="77777777" w:rsidR="007929F0" w:rsidRPr="00986549" w:rsidRDefault="00000000">
      <w:pPr>
        <w:rPr>
          <w:lang w:val="ru-RU"/>
        </w:rPr>
      </w:pPr>
      <w:r w:rsidRPr="00986549">
        <w:rPr>
          <w:lang w:val="ru-RU"/>
        </w:rPr>
        <w:t>Показатели распространения, восприятия и поведения следует разделять. Клики не заменяют покупки, покупки — успешное использование, а наблюдаемая разница — обоснованный причинный эффект. Хорошая стратегия выбирает канал по функции и сохраняет возможность отказаться от неподходящего предложения без давления.</w:t>
      </w:r>
    </w:p>
    <w:p w14:paraId="12E661F2" w14:textId="77777777" w:rsidR="007929F0" w:rsidRPr="00986549" w:rsidRDefault="00000000">
      <w:pPr>
        <w:pStyle w:val="21"/>
        <w:rPr>
          <w:lang w:val="ru-RU"/>
        </w:rPr>
      </w:pPr>
      <w:r w:rsidRPr="00986549">
        <w:rPr>
          <w:lang w:val="ru-RU"/>
        </w:rPr>
        <w:t>Мини-глоссарий</w:t>
      </w:r>
    </w:p>
    <w:p w14:paraId="2B483A03" w14:textId="77777777" w:rsidR="007929F0" w:rsidRPr="00986549" w:rsidRDefault="00000000">
      <w:pPr>
        <w:rPr>
          <w:lang w:val="ru-RU"/>
        </w:rPr>
      </w:pPr>
      <w:r w:rsidRPr="00986549">
        <w:rPr>
          <w:b/>
          <w:lang w:val="ru-RU"/>
        </w:rPr>
        <w:t>Коммуникационный бриф</w:t>
      </w:r>
      <w:r w:rsidRPr="00986549">
        <w:rPr>
          <w:lang w:val="ru-RU"/>
        </w:rPr>
        <w:t xml:space="preserve"> — описание аудитории, задачи, сообщения, доказательств и проверки.</w:t>
      </w:r>
    </w:p>
    <w:p w14:paraId="0CE6484E" w14:textId="77777777" w:rsidR="007929F0" w:rsidRPr="00986549" w:rsidRDefault="00000000">
      <w:pPr>
        <w:rPr>
          <w:lang w:val="ru-RU"/>
        </w:rPr>
      </w:pPr>
      <w:r w:rsidRPr="00986549">
        <w:rPr>
          <w:b/>
          <w:lang w:val="ru-RU"/>
        </w:rPr>
        <w:t>Аргумент</w:t>
      </w:r>
      <w:r w:rsidRPr="00986549">
        <w:rPr>
          <w:lang w:val="ru-RU"/>
        </w:rPr>
        <w:t xml:space="preserve"> — связь утверждения с релевантным основанием.</w:t>
      </w:r>
    </w:p>
    <w:p w14:paraId="79708930" w14:textId="77777777" w:rsidR="007929F0" w:rsidRPr="00986549" w:rsidRDefault="00000000">
      <w:pPr>
        <w:rPr>
          <w:lang w:val="ru-RU"/>
        </w:rPr>
      </w:pPr>
      <w:r w:rsidRPr="00986549">
        <w:rPr>
          <w:b/>
          <w:lang w:val="ru-RU"/>
        </w:rPr>
        <w:t>Охват</w:t>
      </w:r>
      <w:r w:rsidRPr="00986549">
        <w:rPr>
          <w:lang w:val="ru-RU"/>
        </w:rPr>
        <w:t xml:space="preserve"> — число уникальных объектов контакта при определенном способе учета.</w:t>
      </w:r>
    </w:p>
    <w:p w14:paraId="6D4BE0C2" w14:textId="77777777" w:rsidR="007929F0" w:rsidRPr="00986549" w:rsidRDefault="00000000">
      <w:pPr>
        <w:rPr>
          <w:lang w:val="ru-RU"/>
        </w:rPr>
      </w:pPr>
      <w:r>
        <w:rPr>
          <w:b/>
        </w:rPr>
        <w:t>CTR</w:t>
      </w:r>
      <w:r w:rsidRPr="00986549">
        <w:rPr>
          <w:lang w:val="ru-RU"/>
        </w:rPr>
        <w:t xml:space="preserve"> — отношение зарегистрированных кликов к показам в заданном периоде.</w:t>
      </w:r>
    </w:p>
    <w:p w14:paraId="12FA6917" w14:textId="77777777" w:rsidR="007929F0" w:rsidRPr="00986549" w:rsidRDefault="00000000">
      <w:pPr>
        <w:rPr>
          <w:lang w:val="ru-RU"/>
        </w:rPr>
      </w:pPr>
      <w:r w:rsidRPr="00986549">
        <w:rPr>
          <w:b/>
          <w:lang w:val="ru-RU"/>
        </w:rPr>
        <w:t>Интеграция коммуникаций</w:t>
      </w:r>
      <w:r w:rsidRPr="00986549">
        <w:rPr>
          <w:lang w:val="ru-RU"/>
        </w:rPr>
        <w:t xml:space="preserve"> — согласованность содержания и роли разных контактов.</w:t>
      </w:r>
    </w:p>
    <w:p w14:paraId="2B9E5F83" w14:textId="77777777" w:rsidR="007929F0" w:rsidRPr="00986549" w:rsidRDefault="00000000">
      <w:pPr>
        <w:rPr>
          <w:lang w:val="ru-RU"/>
        </w:rPr>
      </w:pPr>
      <w:r w:rsidRPr="00986549">
        <w:rPr>
          <w:b/>
          <w:lang w:val="ru-RU"/>
        </w:rPr>
        <w:t>Защитный показатель</w:t>
      </w:r>
      <w:r w:rsidRPr="00986549">
        <w:rPr>
          <w:lang w:val="ru-RU"/>
        </w:rPr>
        <w:t xml:space="preserve"> — критерий, предотвращающий улучшение одной метрики за счет существенного ухудшения опыта.</w:t>
      </w:r>
    </w:p>
    <w:p w14:paraId="75C2FB5B" w14:textId="77777777" w:rsidR="007929F0"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5431B8EF" w14:textId="77777777" w:rsidR="007929F0" w:rsidRDefault="00000000">
      <w:pPr>
        <w:pStyle w:val="Small"/>
        <w:keepNext/>
      </w:pPr>
      <w:r>
        <w:t>[1] Gomez Albrecht M., Green M., Hoffman L. Principles of Marketing. OpenStax, 2023. § 13.1: The Promotion Mix and Its Elements.</w:t>
      </w:r>
    </w:p>
    <w:p w14:paraId="129091CD" w14:textId="77777777" w:rsidR="007929F0"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4F362B4E" w14:textId="77777777" w:rsidR="007929F0" w:rsidRDefault="00000000">
      <w:pPr>
        <w:pStyle w:val="Small"/>
        <w:keepNext/>
      </w:pPr>
      <w:r>
        <w:t>[2] Petty R. E., Cacioppo J. T. The Elaboration Likelihood Model of Persuasion. Advances in Experimental Social Psychology. 1986. Vol. 19. P. 123–205. DOI: 10.1016/S0065-2601(08)60214-2.</w:t>
      </w:r>
    </w:p>
    <w:p w14:paraId="6C283443" w14:textId="77777777" w:rsidR="007929F0"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5D69E1E1" w14:textId="77777777" w:rsidR="007929F0" w:rsidRPr="00986549" w:rsidRDefault="00000000">
      <w:pPr>
        <w:pStyle w:val="Small"/>
        <w:keepNext/>
        <w:rPr>
          <w:lang w:val="ru-RU"/>
        </w:rPr>
      </w:pPr>
      <w:r>
        <w:t xml:space="preserve">[3] OECD. Dark Commercial Patterns. OECD Digital Economy Papers. </w:t>
      </w:r>
      <w:r w:rsidRPr="00986549">
        <w:rPr>
          <w:lang w:val="ru-RU"/>
        </w:rPr>
        <w:t xml:space="preserve">2022. </w:t>
      </w:r>
      <w:r>
        <w:t>No</w:t>
      </w:r>
      <w:r w:rsidRPr="00986549">
        <w:rPr>
          <w:lang w:val="ru-RU"/>
        </w:rPr>
        <w:t xml:space="preserve">. 336. </w:t>
      </w:r>
      <w:r>
        <w:t>DOI</w:t>
      </w:r>
      <w:r w:rsidRPr="00986549">
        <w:rPr>
          <w:lang w:val="ru-RU"/>
        </w:rPr>
        <w:t>: 10.1787/44</w:t>
      </w:r>
      <w:r>
        <w:t>f</w:t>
      </w:r>
      <w:r w:rsidRPr="00986549">
        <w:rPr>
          <w:lang w:val="ru-RU"/>
        </w:rPr>
        <w:t>5</w:t>
      </w:r>
      <w:r>
        <w:t>e</w:t>
      </w:r>
      <w:r w:rsidRPr="00986549">
        <w:rPr>
          <w:lang w:val="ru-RU"/>
        </w:rPr>
        <w:t>846-</w:t>
      </w:r>
      <w:proofErr w:type="spellStart"/>
      <w:r>
        <w:t>en</w:t>
      </w:r>
      <w:proofErr w:type="spellEnd"/>
      <w:r w:rsidRPr="00986549">
        <w:rPr>
          <w:lang w:val="ru-RU"/>
        </w:rPr>
        <w:t>.</w:t>
      </w:r>
    </w:p>
    <w:p w14:paraId="420B522D" w14:textId="77777777" w:rsidR="007929F0" w:rsidRPr="00986549" w:rsidRDefault="00000000">
      <w:pPr>
        <w:pStyle w:val="Small"/>
        <w:rPr>
          <w:lang w:val="ru-RU"/>
        </w:rPr>
      </w:pPr>
      <w:hyperlink r:id="rId10">
        <w:r w:rsidRPr="00986549">
          <w:rPr>
            <w:color w:val="236C78"/>
            <w:u w:val="single"/>
            <w:lang w:val="ru-RU"/>
          </w:rPr>
          <w:t>Открыть источник</w:t>
        </w:r>
      </w:hyperlink>
    </w:p>
    <w:p w14:paraId="48146E39" w14:textId="01872211" w:rsidR="007929F0" w:rsidRPr="00986549" w:rsidRDefault="007929F0">
      <w:pPr>
        <w:rPr>
          <w:lang w:val="ru-RU"/>
        </w:rPr>
      </w:pPr>
    </w:p>
    <w:sectPr w:rsidR="007929F0" w:rsidRPr="00986549"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0A4A9" w14:textId="77777777" w:rsidR="00EB1FCA" w:rsidRDefault="00EB1FCA">
      <w:pPr>
        <w:spacing w:after="0" w:line="240" w:lineRule="auto"/>
      </w:pPr>
      <w:r>
        <w:separator/>
      </w:r>
    </w:p>
  </w:endnote>
  <w:endnote w:type="continuationSeparator" w:id="0">
    <w:p w14:paraId="27F52AB7" w14:textId="77777777" w:rsidR="00EB1FCA" w:rsidRDefault="00EB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078F" w14:textId="73AE51DB" w:rsidR="007929F0" w:rsidRDefault="007929F0">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32DCF" w14:textId="77777777" w:rsidR="00EB1FCA" w:rsidRDefault="00EB1FCA">
      <w:pPr>
        <w:spacing w:after="0" w:line="240" w:lineRule="auto"/>
      </w:pPr>
      <w:r>
        <w:separator/>
      </w:r>
    </w:p>
  </w:footnote>
  <w:footnote w:type="continuationSeparator" w:id="0">
    <w:p w14:paraId="43C46A23" w14:textId="77777777" w:rsidR="00EB1FCA" w:rsidRDefault="00EB1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6663" w14:textId="2FA54E01" w:rsidR="007929F0" w:rsidRDefault="007929F0">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35957823">
    <w:abstractNumId w:val="8"/>
  </w:num>
  <w:num w:numId="2" w16cid:durableId="1104111696">
    <w:abstractNumId w:val="6"/>
  </w:num>
  <w:num w:numId="3" w16cid:durableId="2067533916">
    <w:abstractNumId w:val="5"/>
  </w:num>
  <w:num w:numId="4" w16cid:durableId="111948892">
    <w:abstractNumId w:val="4"/>
  </w:num>
  <w:num w:numId="5" w16cid:durableId="1263957403">
    <w:abstractNumId w:val="7"/>
  </w:num>
  <w:num w:numId="6" w16cid:durableId="1971007422">
    <w:abstractNumId w:val="3"/>
  </w:num>
  <w:num w:numId="7" w16cid:durableId="1455058694">
    <w:abstractNumId w:val="2"/>
  </w:num>
  <w:num w:numId="8" w16cid:durableId="1328629173">
    <w:abstractNumId w:val="1"/>
  </w:num>
  <w:num w:numId="9" w16cid:durableId="532571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929F0"/>
    <w:rsid w:val="00986549"/>
    <w:rsid w:val="00A81D9E"/>
    <w:rsid w:val="00AA1D8D"/>
    <w:rsid w:val="00B47730"/>
    <w:rsid w:val="00CB0664"/>
    <w:rsid w:val="00EB1F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EAA90A"/>
  <w14:defaultImageDpi w14:val="300"/>
  <w15:docId w15:val="{2F42B0D8-D975-444D-B1DB-F4E1F986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rinciples-marketing/pages/13-1-the-promotion-mix-and-its-elem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oecd.org/en/publications/dark-commercial-patterns_44f5e846-en.html" TargetMode="External"/><Relationship Id="rId4" Type="http://schemas.openxmlformats.org/officeDocument/2006/relationships/settings" Target="settings.xml"/><Relationship Id="rId9" Type="http://schemas.openxmlformats.org/officeDocument/2006/relationships/hyperlink" Target="https://richardepetty.com/wp-content/uploads/2019/01/1986-advances-pettycacioppo.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2655</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Маркетинговые коммуникации и изменение предпочтений</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2026-09-28T09:52:00Z</dcterms:modified>
  <cp:category/>
</cp:coreProperties>
</file>