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85ACD" w14:textId="77777777" w:rsidR="00721C8B" w:rsidRPr="002B1081" w:rsidRDefault="00000000">
      <w:pPr>
        <w:pStyle w:val="aa"/>
        <w:rPr>
          <w:lang w:val="ru-RU"/>
        </w:rPr>
      </w:pPr>
      <w:r w:rsidRPr="002B1081">
        <w:rPr>
          <w:lang w:val="ru-RU"/>
        </w:rPr>
        <w:t>Ценовое восприятие и реакция на рыночные предложения</w:t>
      </w:r>
    </w:p>
    <w:p w14:paraId="54B02956" w14:textId="77777777" w:rsidR="00721C8B" w:rsidRPr="002B1081" w:rsidRDefault="00000000">
      <w:pPr>
        <w:pStyle w:val="Small"/>
        <w:rPr>
          <w:lang w:val="ru-RU"/>
        </w:rPr>
      </w:pPr>
      <w:r w:rsidRPr="002B1081">
        <w:rPr>
          <w:lang w:val="ru-RU"/>
        </w:rPr>
        <w:t>Лекция 10 • Неделя 10 • Курс «Управление поведением потребителей на рынке»</w:t>
      </w:r>
    </w:p>
    <w:p w14:paraId="0F89672D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Вопросы лекции</w:t>
      </w:r>
    </w:p>
    <w:p w14:paraId="2547DCC0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1. Как формируются референтная, заявленная и полная цена?</w:t>
      </w:r>
    </w:p>
    <w:p w14:paraId="50EC7C74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2. От чего зависит ценовая чувствительность в конкретной ситуации?</w:t>
      </w:r>
    </w:p>
    <w:p w14:paraId="1B6F4BA7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3. Как рассчитывается и интерпретируется эластичность?</w:t>
      </w:r>
    </w:p>
    <w:p w14:paraId="17B61385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4. Как скидки, наборы и подписки меняют выбор и экономику?</w:t>
      </w:r>
    </w:p>
    <w:p w14:paraId="3F17A497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5. Как оценивать прозрачность и дополнительный результат предложения?</w:t>
      </w:r>
    </w:p>
    <w:p w14:paraId="7FC7A360" w14:textId="77777777" w:rsidR="00721C8B" w:rsidRPr="002B1081" w:rsidRDefault="00000000">
      <w:pPr>
        <w:pStyle w:val="1"/>
        <w:pageBreakBefore/>
        <w:rPr>
          <w:lang w:val="ru-RU"/>
        </w:rPr>
      </w:pPr>
      <w:r w:rsidRPr="002B1081">
        <w:rPr>
          <w:lang w:val="ru-RU"/>
        </w:rPr>
        <w:lastRenderedPageBreak/>
        <w:t>1. Цена как затрата, сигнал и основание сравнения</w:t>
      </w:r>
    </w:p>
    <w:p w14:paraId="28D38D1E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Цена — денежное условие обмена, но в восприятии она может выполнять несколько функций. Она ограничивает доступность, участвует в оценке выгод и иногда используется как сигнал качества. Последняя функция не означает, что высокая цена доказывает высокое качество. Для обоснованного решения нужны характеристики, условия и подтверждения. Роль цены в комплексе маркетинга рассматривается в базовой литературе [1].</w:t>
      </w:r>
    </w:p>
    <w:p w14:paraId="56D97976" w14:textId="77777777" w:rsidR="00721C8B" w:rsidRPr="002B1081" w:rsidRDefault="00000000">
      <w:pPr>
        <w:rPr>
          <w:lang w:val="ru-RU"/>
        </w:rPr>
      </w:pPr>
      <w:r w:rsidRPr="002B1081">
        <w:rPr>
          <w:b/>
          <w:lang w:val="ru-RU"/>
        </w:rPr>
        <w:t>Референтная цена</w:t>
      </w:r>
      <w:r w:rsidRPr="002B1081">
        <w:rPr>
          <w:lang w:val="ru-RU"/>
        </w:rPr>
        <w:t xml:space="preserve"> — ориентир, с которым потребитель сравнивает предложение. Он может опираться на прошлый опыт, ожидание или доступную альтернативу. Компания не должна предполагать, что ее заявленная «обычная цена» совпадает с ориентиром покупателя. Для исследования полезно выяснить, с чем человек действительно сравнивал стоимость.</w:t>
      </w:r>
    </w:p>
    <w:p w14:paraId="70157B3B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Полная стоимость</w:t>
      </w:r>
    </w:p>
    <w:p w14:paraId="03257EB3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Цена на карточке, итог при оформлении и затраты использования могут различаться. Полная стоимость решения включает обязательные платежи, доставку, необходимые дополнения и условия продолжения. Не все будущие расходы можно точно предсказать, но известные обязательные составляющие должны быть понятны до согласия.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721C8B" w:rsidRPr="002B1081" w14:paraId="01286A50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07A3AAB" w14:textId="77777777" w:rsidR="00721C8B" w:rsidRDefault="00000000">
            <w:pPr>
              <w:pStyle w:val="TableText"/>
            </w:pPr>
            <w:proofErr w:type="spellStart"/>
            <w:r>
              <w:rPr>
                <w:rFonts w:eastAsia="Arial" w:cs="Arial"/>
                <w:b/>
                <w:color w:val="FFFFFF"/>
              </w:rPr>
              <w:t>Обозначение</w:t>
            </w:r>
            <w:proofErr w:type="spellEnd"/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C29A150" w14:textId="77777777" w:rsidR="00721C8B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Что показывает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41E802F" w14:textId="77777777" w:rsidR="00721C8B" w:rsidRPr="002B1081" w:rsidRDefault="00000000">
            <w:pPr>
              <w:pStyle w:val="TableText"/>
              <w:rPr>
                <w:lang w:val="ru-RU"/>
              </w:rPr>
            </w:pPr>
            <w:r w:rsidRPr="002B1081">
              <w:rPr>
                <w:rFonts w:eastAsia="Arial" w:cs="Arial"/>
                <w:b/>
                <w:color w:val="FFFFFF"/>
                <w:lang w:val="ru-RU"/>
              </w:rPr>
              <w:t>Чего не раскрывает само по себе</w:t>
            </w:r>
          </w:p>
        </w:tc>
      </w:tr>
      <w:tr w:rsidR="00721C8B" w14:paraId="341E787C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6832D5F" w14:textId="77777777" w:rsidR="00721C8B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Цена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единицы</w:t>
            </w:r>
            <w:proofErr w:type="spellEnd"/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17052BA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Стоимость одного товара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D229E43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Доставку и обязательные дополнения</w:t>
            </w:r>
          </w:p>
        </w:tc>
      </w:tr>
      <w:tr w:rsidR="00721C8B" w:rsidRPr="002B1081" w14:paraId="0D3B9A7F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001088A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Цена упаковки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2B1414B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Стоимость конкретного объема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522A5B3" w14:textId="77777777" w:rsidR="00721C8B" w:rsidRPr="002B1081" w:rsidRDefault="00000000">
            <w:pPr>
              <w:pStyle w:val="TableText"/>
              <w:rPr>
                <w:lang w:val="ru-RU"/>
              </w:rPr>
            </w:pPr>
            <w:r w:rsidRPr="002B1081">
              <w:rPr>
                <w:rFonts w:eastAsia="Arial" w:cs="Arial"/>
                <w:color w:val="243B48"/>
                <w:lang w:val="ru-RU"/>
              </w:rPr>
              <w:t>Сравнимость с упаковкой другого размера</w:t>
            </w:r>
          </w:p>
        </w:tc>
      </w:tr>
      <w:tr w:rsidR="00721C8B" w14:paraId="3AFEA769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2A2C524" w14:textId="77777777" w:rsidR="00721C8B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Цена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периода</w:t>
            </w:r>
            <w:proofErr w:type="spellEnd"/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971C918" w14:textId="77777777" w:rsidR="00721C8B" w:rsidRPr="002B1081" w:rsidRDefault="00000000">
            <w:pPr>
              <w:pStyle w:val="TableText"/>
              <w:rPr>
                <w:lang w:val="ru-RU"/>
              </w:rPr>
            </w:pPr>
            <w:r w:rsidRPr="002B1081">
              <w:rPr>
                <w:rFonts w:eastAsia="Arial" w:cs="Arial"/>
                <w:color w:val="243B48"/>
                <w:lang w:val="ru-RU"/>
              </w:rPr>
              <w:t>Платеж за месяц или иной срок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D3CA7D0" w14:textId="77777777" w:rsidR="00721C8B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Общую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сумму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длительного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обязательства</w:t>
            </w:r>
            <w:proofErr w:type="spellEnd"/>
          </w:p>
        </w:tc>
      </w:tr>
      <w:tr w:rsidR="00721C8B" w:rsidRPr="002B1081" w14:paraId="1036CF83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669409C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Итоговая сумма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EE075DE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Известные платежи по заказу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4168D48" w14:textId="77777777" w:rsidR="00721C8B" w:rsidRPr="002B1081" w:rsidRDefault="00000000">
            <w:pPr>
              <w:pStyle w:val="TableText"/>
              <w:rPr>
                <w:lang w:val="ru-RU"/>
              </w:rPr>
            </w:pPr>
            <w:r w:rsidRPr="002B1081">
              <w:rPr>
                <w:rFonts w:eastAsia="Arial" w:cs="Arial"/>
                <w:color w:val="243B48"/>
                <w:lang w:val="ru-RU"/>
              </w:rPr>
              <w:t>Необязательные или будущие расходы использования</w:t>
            </w:r>
          </w:p>
        </w:tc>
      </w:tr>
    </w:tbl>
    <w:p w14:paraId="21C38B97" w14:textId="77777777" w:rsidR="00721C8B" w:rsidRPr="002B1081" w:rsidRDefault="00721C8B">
      <w:pPr>
        <w:spacing w:after="0"/>
        <w:rPr>
          <w:lang w:val="ru-RU"/>
        </w:rPr>
      </w:pPr>
    </w:p>
    <w:p w14:paraId="65CEDFC4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Сравнимость</w:t>
      </w:r>
    </w:p>
    <w:p w14:paraId="4C6B6015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Два предложения сравниваются по одинаковому составу, периоду и качеству результата. Меньшая цена упаковки не обязательно означает меньшую цену за единицу. Бесплатная доставка при большем минимальном заказе может изменить общий расход. Поэтому полезно показать и частную цену, и условия, определяющие итог.</w:t>
      </w:r>
    </w:p>
    <w:p w14:paraId="4E51E576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Применительно к точке отсчета теория перспектив помогает понять относительный характер оценки результатов [2]. Но она не дает универсального коэффициента чувствительности к скидке. Конкретная реакция требует данных о категории и ситуации. Маркетолог должен проверить, что человек понял стоимость правильно, прежде чем объяснять выбор психологическим эффектом.</w:t>
      </w:r>
    </w:p>
    <w:p w14:paraId="36DCC5EC" w14:textId="77777777" w:rsidR="00721C8B" w:rsidRPr="002B1081" w:rsidRDefault="00000000">
      <w:pPr>
        <w:pStyle w:val="1"/>
        <w:pageBreakBefore/>
        <w:rPr>
          <w:lang w:val="ru-RU"/>
        </w:rPr>
      </w:pPr>
      <w:r w:rsidRPr="002B1081">
        <w:rPr>
          <w:lang w:val="ru-RU"/>
        </w:rPr>
        <w:lastRenderedPageBreak/>
        <w:t>2. Ценовая чувствительность и условия выбора</w:t>
      </w:r>
    </w:p>
    <w:p w14:paraId="4EA1B158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Ценовая чувствительность описывает, насколько изменение цены связано с изменением готовности выбирать или фактического спроса при определенных условиях. Она не является неизменным свойством личности. Один человек может внимательно сравнивать стоимость регулярной покупки и меньше реагировать на разницу в срочной ситуации, когда подходящих альтернатив мало.</w:t>
      </w:r>
    </w:p>
    <w:p w14:paraId="2C1D692B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Для анализа рассматривают доступность заменителей, различимость качества, долю расходов в бюджете, срочность, частоту использования и издержки переключения. Это направления проверки, а не готовые числовые зависимости. Если товар уникален по совместимости, низкая реакция на цену может отражать ограничение выбора, а не особую привязанность к бренду.</w:t>
      </w:r>
    </w:p>
    <w:p w14:paraId="7F58552F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Готовность платить и наблюдаемая покупка</w:t>
      </w:r>
    </w:p>
    <w:p w14:paraId="7AC8DF9C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Опрос о приемлемой цене дает заявленные оценки. Они полезны для предварительного понимания диапазона и языка, но не гарантируют поведение при реальных расходах. Вопросы следует связывать с конкретным составом предложения, сроком и альтернативами. Без этого разные участники оценивают разные воображаемые продукты.</w:t>
      </w:r>
    </w:p>
    <w:p w14:paraId="07376779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Транзакционные данные показывают покупки при уже сложившихся условиях. Они не всегда раскрывают, что произошло бы при другой цене. Цена могла меняться одновременно с рекламой, ассортиментом и наличием. Поэтому простая связь цены и количества не обязательно является оценкой чистого ценового эффекта.</w:t>
      </w:r>
    </w:p>
    <w:p w14:paraId="738953E9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Сегменты и ситуации</w:t>
      </w:r>
    </w:p>
    <w:p w14:paraId="7665125E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Для одной группы важна минимальная общая сумма, для другой — предсказуемость регулярных расходов, для третьей — стоимость за использование. Эти различия нужно проверять на задачах, а не выводить из ярлыков «экономные» и «премиальные». Высокие расходы в одной категории не доказывают высокий доход или низкую чувствительность во всех остальных.</w:t>
      </w:r>
    </w:p>
    <w:p w14:paraId="1E7EA2C0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Полезный вопрос исследования: какой компромисс человек принимает при изменении цены? Он может уменьшить объем, выбрать другой формат, отложить покупку или сохранить прежний вариант. Реакция не ограничивается бинарным «купил — не купил». Поэтому анализ включает состав корзины, сроки и последующее использование.</w:t>
      </w:r>
    </w:p>
    <w:p w14:paraId="7B366A4D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Управленческий вывод — выбирать цену вместе с продуктом и условиями, а не изолированно. Если проблема в неясной ценности, скидка может временно привлечь внимание, но не создать устойчивого соответствия. Если предложение действительно недоступно, дополнительная аргументация не заменит изменение формата или цены.</w:t>
      </w:r>
    </w:p>
    <w:p w14:paraId="719901E8" w14:textId="77777777" w:rsidR="00721C8B" w:rsidRPr="002B1081" w:rsidRDefault="00000000">
      <w:pPr>
        <w:pStyle w:val="1"/>
        <w:pageBreakBefore/>
        <w:rPr>
          <w:lang w:val="ru-RU"/>
        </w:rPr>
      </w:pPr>
      <w:r w:rsidRPr="002B1081">
        <w:rPr>
          <w:lang w:val="ru-RU"/>
        </w:rPr>
        <w:lastRenderedPageBreak/>
        <w:t>3. Эластичность: формула и пределы интерпретации</w:t>
      </w:r>
    </w:p>
    <w:p w14:paraId="15EB1DE4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Ценовая эластичность спроса выражает относительное изменение количества по отношению к относительному изменению цены. Для сравнения двух состояний удобно использовать дуговую формулу со средними значениями: </w:t>
      </w:r>
      <w:r>
        <w:rPr>
          <w:b/>
        </w:rPr>
        <w:t>E</w:t>
      </w:r>
      <w:r w:rsidRPr="002B1081">
        <w:rPr>
          <w:b/>
          <w:lang w:val="ru-RU"/>
        </w:rPr>
        <w:t xml:space="preserve"> = [(</w:t>
      </w:r>
      <w:r>
        <w:rPr>
          <w:b/>
        </w:rPr>
        <w:t>Q</w:t>
      </w:r>
      <w:r w:rsidRPr="002B1081">
        <w:rPr>
          <w:b/>
          <w:lang w:val="ru-RU"/>
        </w:rPr>
        <w:t xml:space="preserve">₂ − </w:t>
      </w:r>
      <w:r>
        <w:rPr>
          <w:b/>
        </w:rPr>
        <w:t>Q</w:t>
      </w:r>
      <w:r w:rsidRPr="002B1081">
        <w:rPr>
          <w:b/>
          <w:lang w:val="ru-RU"/>
        </w:rPr>
        <w:t>₁) / ((</w:t>
      </w:r>
      <w:r>
        <w:rPr>
          <w:b/>
        </w:rPr>
        <w:t>Q</w:t>
      </w:r>
      <w:r w:rsidRPr="002B1081">
        <w:rPr>
          <w:b/>
          <w:lang w:val="ru-RU"/>
        </w:rPr>
        <w:t xml:space="preserve">₁ + </w:t>
      </w:r>
      <w:r>
        <w:rPr>
          <w:b/>
        </w:rPr>
        <w:t>Q</w:t>
      </w:r>
      <w:r w:rsidRPr="002B1081">
        <w:rPr>
          <w:b/>
          <w:lang w:val="ru-RU"/>
        </w:rPr>
        <w:t>₂) / 2)] / [(</w:t>
      </w:r>
      <w:r>
        <w:rPr>
          <w:b/>
        </w:rPr>
        <w:t>P</w:t>
      </w:r>
      <w:r w:rsidRPr="002B1081">
        <w:rPr>
          <w:b/>
          <w:lang w:val="ru-RU"/>
        </w:rPr>
        <w:t xml:space="preserve">₂ − </w:t>
      </w:r>
      <w:r>
        <w:rPr>
          <w:b/>
        </w:rPr>
        <w:t>P</w:t>
      </w:r>
      <w:r w:rsidRPr="002B1081">
        <w:rPr>
          <w:b/>
          <w:lang w:val="ru-RU"/>
        </w:rPr>
        <w:t>₁) / ((</w:t>
      </w:r>
      <w:r>
        <w:rPr>
          <w:b/>
        </w:rPr>
        <w:t>P</w:t>
      </w:r>
      <w:r w:rsidRPr="002B1081">
        <w:rPr>
          <w:b/>
          <w:lang w:val="ru-RU"/>
        </w:rPr>
        <w:t xml:space="preserve">₁ + </w:t>
      </w:r>
      <w:r>
        <w:rPr>
          <w:b/>
        </w:rPr>
        <w:t>P</w:t>
      </w:r>
      <w:r w:rsidRPr="002B1081">
        <w:rPr>
          <w:b/>
          <w:lang w:val="ru-RU"/>
        </w:rPr>
        <w:t>₂) / 2)]</w:t>
      </w:r>
      <w:r w:rsidRPr="002B1081">
        <w:rPr>
          <w:lang w:val="ru-RU"/>
        </w:rPr>
        <w:t xml:space="preserve">. Здесь </w:t>
      </w:r>
      <w:r>
        <w:t>P</w:t>
      </w:r>
      <w:r w:rsidRPr="002B1081">
        <w:rPr>
          <w:lang w:val="ru-RU"/>
        </w:rPr>
        <w:t xml:space="preserve"> — цена, </w:t>
      </w:r>
      <w:r>
        <w:t>Q</w:t>
      </w:r>
      <w:r w:rsidRPr="002B1081">
        <w:rPr>
          <w:lang w:val="ru-RU"/>
        </w:rPr>
        <w:t xml:space="preserve"> — количество, индексы обозначают два состояния.</w:t>
      </w:r>
    </w:p>
    <w:p w14:paraId="77E66A00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При обычной обратной связи цены и спроса значение отрицательно. По модулю больше единицы означает относительно более сильное изменение количества, меньше единицы — менее сильное в рассматриваемом интервале. Это описание конкретного диапазона, а не постоянная характеристика всего рынка.</w:t>
      </w:r>
    </w:p>
    <w:p w14:paraId="5D7D685A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Учебный расчет</w:t>
      </w:r>
    </w:p>
    <w:p w14:paraId="2F192355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Цена снизилась с 1 000 до 900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>, количество выросло со 100 до 120 единиц. Среднее количество — 110, средняя цена — 950. Относительное изменение количества по средней базе: 20 / 110 ≈ 0,1818. Изменение цены: −100 / 950 ≈ −0,1053. Их отношение составляет примерно −1,73.</w:t>
      </w:r>
    </w:p>
    <w:p w14:paraId="726D3729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Этот результат отличается от расчета по исходной базе, который дал бы 20% / −10% = −2. Оба способа используют разные основания; их нельзя смешивать в одном показателе. В лекции применяется дуговая формула, симметричная относительно направления сравнения.</w:t>
      </w:r>
    </w:p>
    <w:p w14:paraId="62EA2471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Что расчет не доказывает</w:t>
      </w:r>
    </w:p>
    <w:p w14:paraId="4B84E954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Если одновременно изменились реклама, сезон, наличие или состав покупателей, число −1,73 описывает наблюдаемое соотношение, но не обязательно чистую эластичность. Для причинной интерпретации требуется дизайн, позволяющий отделить ценовое изменение от других факторов. Также важно различать количество проданных единиц, заказов и уникальных покупателей.</w:t>
      </w:r>
    </w:p>
    <w:p w14:paraId="44F81308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При неизменной цене знаменатель равен нулю, поэтому такую оценку по двум точкам не рассчитывают. При очень малых изменениях ошибки учета способны существенно влиять на отношение. Следует показывать исходные значения и не создавать лишнюю точность большим числом знаков.</w:t>
      </w:r>
    </w:p>
    <w:p w14:paraId="7BFEF9BC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Практический смысл формулы — дисциплинировать сравнение. Она заставляет назвать период, единицы и основания процентов. Но решение о цене дополнительно учитывает маржинальный вклад, затраты, качество обслуживания и реакцию в последующие периоды.</w:t>
      </w:r>
    </w:p>
    <w:p w14:paraId="7FBFADB5" w14:textId="77777777" w:rsidR="00721C8B" w:rsidRPr="002B1081" w:rsidRDefault="00000000">
      <w:pPr>
        <w:pStyle w:val="1"/>
        <w:pageBreakBefore/>
        <w:rPr>
          <w:lang w:val="ru-RU"/>
        </w:rPr>
      </w:pPr>
      <w:r w:rsidRPr="002B1081">
        <w:rPr>
          <w:lang w:val="ru-RU"/>
        </w:rPr>
        <w:lastRenderedPageBreak/>
        <w:t>4. Скидки, наборы и подписки</w:t>
      </w:r>
    </w:p>
    <w:p w14:paraId="7778083D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Скидка меняет денежное условие, но ее эффект зависит от базы сравнения, срока, доступности и ожиданий. Увеличение покупок во время акции может включать дополнительный спрос, перенос будущих покупок на текущий период и переход с других товаров той же компании. Поэтому весь рост нельзя автоматически считать новым результатом.</w:t>
      </w:r>
    </w:p>
    <w:p w14:paraId="52E1065E" w14:textId="77777777" w:rsidR="00721C8B" w:rsidRPr="002B1081" w:rsidRDefault="00000000">
      <w:pPr>
        <w:rPr>
          <w:lang w:val="ru-RU"/>
        </w:rPr>
      </w:pPr>
      <w:r w:rsidRPr="002B1081">
        <w:rPr>
          <w:b/>
          <w:lang w:val="ru-RU"/>
        </w:rPr>
        <w:t>Перенос спроса во времени</w:t>
      </w:r>
      <w:r w:rsidRPr="002B1081">
        <w:rPr>
          <w:lang w:val="ru-RU"/>
        </w:rPr>
        <w:t xml:space="preserve"> означает, что человек покупает раньше или запасается. </w:t>
      </w:r>
      <w:r w:rsidRPr="002B1081">
        <w:rPr>
          <w:b/>
          <w:lang w:val="ru-RU"/>
        </w:rPr>
        <w:t>Каннибализация</w:t>
      </w:r>
      <w:r w:rsidRPr="002B1081">
        <w:rPr>
          <w:lang w:val="ru-RU"/>
        </w:rPr>
        <w:t xml:space="preserve"> — замещение продаж одного предложения другим внутри бизнеса. Оба явления могут быть приемлемыми, но должны учитываться. Акция, увеличившая продажи одной позиции, способна уменьшить вклад соседней категории или последующего периода.</w:t>
      </w:r>
    </w:p>
    <w:p w14:paraId="1DBE27E1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Наборы</w:t>
      </w:r>
    </w:p>
    <w:p w14:paraId="230CB383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Набор может облегчить выбор и дать удобное сочетание, если его состав соответствует задаче. Но цена набора сравнивается с реальной ценностью нужных компонентов, а не с номинальной суммой всего включенного. Покупатель не получает выгоду от ненужного товара только потому, что он объявлен подарком.</w:t>
      </w:r>
    </w:p>
    <w:p w14:paraId="394F7B16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Полезно показывать состав, количество, возможность отдельного приобретения и ограничения. Если сравнение использует обычные цены компонентов, они должны быть достоверными. Учебная рекомендация не должна строиться на вымышленной исходной цене, созданной только для впечатления большой экономии.</w:t>
      </w:r>
    </w:p>
    <w:p w14:paraId="3931D44F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Подписки</w:t>
      </w:r>
    </w:p>
    <w:p w14:paraId="47AAA1F5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Подписка может обеспечивать предсказуемый доступ и регулярные расходы. Для оценки нужны период, содержание, правила продления, изменения и отмены. Низкий первый платеж не описывает полную стоимость длительного использования. Важно, чтобы человек понимал, когда и за что будут списываться средства.</w:t>
      </w:r>
    </w:p>
    <w:p w14:paraId="781403E0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В докладе </w:t>
      </w:r>
      <w:r>
        <w:t>OECD</w:t>
      </w:r>
      <w:r w:rsidRPr="002B1081">
        <w:rPr>
          <w:lang w:val="ru-RU"/>
        </w:rPr>
        <w:t xml:space="preserve"> о темных коммерческих паттернах обсуждаются способы дизайна, ухудшающие самостоятельность выбора, включая сокрытие условий и затруднение отказа [3]. В курсе это используется как этический ориентир: результат не должен зависеть от того, что потребитель не заметил обязательство. Конкретные правовые требования проверяются отдельно по юрисдикции.</w:t>
      </w:r>
    </w:p>
    <w:p w14:paraId="32E59A58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Оценка акции или подписки включает не только первую конверсию, но и использование, повторные покупки, отмены, обращения и затраты. Это помогает отличать устойчивую ценность от краткосрочного роста, который возник из-за переноса спроса или ошибочного понимания.</w:t>
      </w:r>
    </w:p>
    <w:p w14:paraId="2D5EE016" w14:textId="77777777" w:rsidR="00721C8B" w:rsidRPr="002B1081" w:rsidRDefault="00000000">
      <w:pPr>
        <w:pStyle w:val="1"/>
        <w:pageBreakBefore/>
        <w:rPr>
          <w:lang w:val="ru-RU"/>
        </w:rPr>
      </w:pPr>
      <w:r w:rsidRPr="002B1081">
        <w:rPr>
          <w:lang w:val="ru-RU"/>
        </w:rPr>
        <w:lastRenderedPageBreak/>
        <w:t>5. Экономика предложения и план проверки</w:t>
      </w:r>
    </w:p>
    <w:p w14:paraId="2BC775B9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Выручка равна цене, умноженной на количество. </w:t>
      </w:r>
      <w:r w:rsidRPr="002B1081">
        <w:rPr>
          <w:b/>
          <w:lang w:val="ru-RU"/>
        </w:rPr>
        <w:t>Маржинальный вклад</w:t>
      </w:r>
      <w:r w:rsidRPr="002B1081">
        <w:rPr>
          <w:lang w:val="ru-RU"/>
        </w:rPr>
        <w:t xml:space="preserve"> в упрощенном расчете равен выручке за вычетом переменных затрат. Он не тождествен чистой прибыли: постоянные расходы, налоги и другие элементы могут учитываться отдельно. В учебном примере важно явно указать, какие затраты включены и какие остаются неизменными.</w:t>
      </w:r>
    </w:p>
    <w:p w14:paraId="1DFC09DC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Пусть исходная цена </w:t>
      </w:r>
      <w:r>
        <w:t>P</w:t>
      </w:r>
      <w:r w:rsidRPr="002B1081">
        <w:rPr>
          <w:lang w:val="ru-RU"/>
        </w:rPr>
        <w:t xml:space="preserve">₁, переменные затраты на единицу </w:t>
      </w:r>
      <w:r>
        <w:t>v</w:t>
      </w:r>
      <w:r w:rsidRPr="002B1081">
        <w:rPr>
          <w:lang w:val="ru-RU"/>
        </w:rPr>
        <w:t xml:space="preserve">, объем </w:t>
      </w:r>
      <w:r>
        <w:t>Q</w:t>
      </w:r>
      <w:r w:rsidRPr="002B1081">
        <w:rPr>
          <w:lang w:val="ru-RU"/>
        </w:rPr>
        <w:t xml:space="preserve">₁. После скидки цена </w:t>
      </w:r>
      <w:r>
        <w:t>P</w:t>
      </w:r>
      <w:r w:rsidRPr="002B1081">
        <w:rPr>
          <w:lang w:val="ru-RU"/>
        </w:rPr>
        <w:t xml:space="preserve">₂. Для сохранения прежнего вклада при неизменных </w:t>
      </w:r>
      <w:r>
        <w:t>v</w:t>
      </w:r>
      <w:r w:rsidRPr="002B1081">
        <w:rPr>
          <w:lang w:val="ru-RU"/>
        </w:rPr>
        <w:t xml:space="preserve"> и постоянных расходах нужно: </w:t>
      </w:r>
      <w:r>
        <w:rPr>
          <w:b/>
        </w:rPr>
        <w:t>Q</w:t>
      </w:r>
      <w:r w:rsidRPr="002B1081">
        <w:rPr>
          <w:b/>
          <w:lang w:val="ru-RU"/>
        </w:rPr>
        <w:t xml:space="preserve">₂ = </w:t>
      </w:r>
      <w:r>
        <w:rPr>
          <w:b/>
        </w:rPr>
        <w:t>Q</w:t>
      </w:r>
      <w:r w:rsidRPr="002B1081">
        <w:rPr>
          <w:b/>
          <w:lang w:val="ru-RU"/>
        </w:rPr>
        <w:t>₁ × (</w:t>
      </w:r>
      <w:r>
        <w:rPr>
          <w:b/>
        </w:rPr>
        <w:t>P</w:t>
      </w:r>
      <w:r w:rsidRPr="002B1081">
        <w:rPr>
          <w:b/>
          <w:lang w:val="ru-RU"/>
        </w:rPr>
        <w:t xml:space="preserve">₁ − </w:t>
      </w:r>
      <w:r>
        <w:rPr>
          <w:b/>
        </w:rPr>
        <w:t>v</w:t>
      </w:r>
      <w:r w:rsidRPr="002B1081">
        <w:rPr>
          <w:b/>
          <w:lang w:val="ru-RU"/>
        </w:rPr>
        <w:t>) / (</w:t>
      </w:r>
      <w:r>
        <w:rPr>
          <w:b/>
        </w:rPr>
        <w:t>P</w:t>
      </w:r>
      <w:r w:rsidRPr="002B1081">
        <w:rPr>
          <w:b/>
          <w:lang w:val="ru-RU"/>
        </w:rPr>
        <w:t xml:space="preserve">₂ − </w:t>
      </w:r>
      <w:r>
        <w:rPr>
          <w:b/>
        </w:rPr>
        <w:t>v</w:t>
      </w:r>
      <w:r w:rsidRPr="002B1081">
        <w:rPr>
          <w:b/>
          <w:lang w:val="ru-RU"/>
        </w:rPr>
        <w:t>)</w:t>
      </w:r>
      <w:r w:rsidRPr="002B1081">
        <w:rPr>
          <w:lang w:val="ru-RU"/>
        </w:rPr>
        <w:t xml:space="preserve">. Формула применима при положительном новом вкладе на единицу. Если он </w:t>
      </w:r>
      <w:proofErr w:type="spellStart"/>
      <w:r w:rsidRPr="002B1081">
        <w:rPr>
          <w:lang w:val="ru-RU"/>
        </w:rPr>
        <w:t>неположителен</w:t>
      </w:r>
      <w:proofErr w:type="spellEnd"/>
      <w:r w:rsidRPr="002B1081">
        <w:rPr>
          <w:lang w:val="ru-RU"/>
        </w:rPr>
        <w:t>, рост объема сам по себе не восстанавливает прежний положительный вклад.</w:t>
      </w:r>
    </w:p>
    <w:p w14:paraId="6912F39E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Почему количества недостаточно</w:t>
      </w:r>
    </w:p>
    <w:p w14:paraId="1718E52B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При цене 1 000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 xml:space="preserve"> и затратах 600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 xml:space="preserve"> вклад с единицы — 400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 xml:space="preserve">. После снижения цены до 900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 xml:space="preserve"> он составляет 300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>. Для сохранения результата объем должен вырасти в 400 / 300 ≈ 1,333 раза, то есть примерно на треть. Это больше, чем размер скидки. Дополнительные расходы на рекламу увеличат требуемый результат.</w:t>
      </w:r>
    </w:p>
    <w:p w14:paraId="311C6442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Проверка дополнительного эффекта</w:t>
      </w:r>
    </w:p>
    <w:p w14:paraId="293F1650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Для акции нужно сравнить то, что произошло, с обоснованной оценкой того, что произошло бы без нее. Наблюдаемая выручка участников не равна дополнительной выручке: часть покупок состоялась бы и без стимула. Случайно сформированная контрольная группа помогает оценить разницу, но требует корректной процедуры и достаточных данных.</w:t>
      </w:r>
    </w:p>
    <w:p w14:paraId="7447C8D6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Период наблюдения должен учитывать цикл покупки и возможный перенос спроса. Если измерить только день акции, можно пропустить снижение в следующие недели. Также проверяют возвраты, отмены, изменение состава корзины и нагрузку на обслуживание.</w:t>
      </w:r>
    </w:p>
    <w:p w14:paraId="00F0A86A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Критерий решения</w:t>
      </w:r>
    </w:p>
    <w:p w14:paraId="2B79A8ED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Рекомендуется заранее определить основной экономический показатель и потребительские ограничения: понятность полной цены, отсутствие ошибочных списаний, доступность отказа и качество исполнения. Если акция ухудшает эти условия, одной высокой выручки недостаточно для положительного решения.</w:t>
      </w:r>
    </w:p>
    <w:p w14:paraId="75524B56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Управление ценовой реакцией требует совместной оценки восприятия и экономики. Прозрачный расчет может показать, что менее заметная, но точнее адресованная мера полезнее массовой скидки, хотя такой вывод всегда зависит от исходных данных и допущений.</w:t>
      </w:r>
    </w:p>
    <w:p w14:paraId="71211345" w14:textId="77777777" w:rsidR="00721C8B" w:rsidRPr="002B1081" w:rsidRDefault="00000000">
      <w:pPr>
        <w:pStyle w:val="1"/>
        <w:pageBreakBefore/>
        <w:rPr>
          <w:lang w:val="ru-RU"/>
        </w:rPr>
      </w:pPr>
      <w:r w:rsidRPr="002B1081">
        <w:rPr>
          <w:lang w:val="ru-RU"/>
        </w:rPr>
        <w:lastRenderedPageBreak/>
        <w:t>6. Разобранный кейс: скидка с ростом объема</w:t>
      </w:r>
    </w:p>
    <w:p w14:paraId="1CED2B64" w14:textId="77777777" w:rsidR="00721C8B" w:rsidRPr="002B1081" w:rsidRDefault="00000000">
      <w:pPr>
        <w:pStyle w:val="Small"/>
        <w:rPr>
          <w:lang w:val="ru-RU"/>
        </w:rPr>
      </w:pPr>
      <w:r w:rsidRPr="002B1081">
        <w:rPr>
          <w:lang w:val="ru-RU"/>
        </w:rPr>
        <w:t>Все данные условные; другие изменения в периоде не контролировались.</w:t>
      </w:r>
    </w:p>
    <w:p w14:paraId="51A64F67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До акции магазин продавал 100 единиц товара по 1 000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 xml:space="preserve">. Переменные затраты составляли 600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 xml:space="preserve"> на единицу. Во время акции цена стала 900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>, объем — 120 единиц. Постоянные расходы считаются неизменными, дополнительных расходов на акцию в этом упрощенном примере нет.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721C8B" w14:paraId="789921C6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4410578" w14:textId="77777777" w:rsidR="00721C8B" w:rsidRDefault="00000000">
            <w:pPr>
              <w:pStyle w:val="TableText"/>
            </w:pPr>
            <w:proofErr w:type="spellStart"/>
            <w:r>
              <w:rPr>
                <w:rFonts w:eastAsia="Arial" w:cs="Arial"/>
                <w:b/>
                <w:color w:val="FFFFFF"/>
              </w:rPr>
              <w:t>Показатель</w:t>
            </w:r>
            <w:proofErr w:type="spellEnd"/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D7BD1BD" w14:textId="77777777" w:rsidR="00721C8B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До акции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22A3753" w14:textId="77777777" w:rsidR="00721C8B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Во время акции</w:t>
            </w:r>
          </w:p>
        </w:tc>
      </w:tr>
      <w:tr w:rsidR="00721C8B" w14:paraId="03AC6CA4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5B192BB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Выручка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856D5B2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100 000 тг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650C543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108 000 тг</w:t>
            </w:r>
          </w:p>
        </w:tc>
      </w:tr>
      <w:tr w:rsidR="00721C8B" w14:paraId="1C659331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8D08621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Переменные затраты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2B65C75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60 000 тг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905BE62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72 000 тг</w:t>
            </w:r>
          </w:p>
        </w:tc>
      </w:tr>
      <w:tr w:rsidR="00721C8B" w14:paraId="3601D146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FCC6D41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Маржинальный вклад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0884821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40 000 тг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743FB05" w14:textId="77777777" w:rsidR="00721C8B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36 000 тг</w:t>
            </w:r>
          </w:p>
        </w:tc>
      </w:tr>
    </w:tbl>
    <w:p w14:paraId="7EC637D4" w14:textId="77777777" w:rsidR="00721C8B" w:rsidRDefault="00721C8B">
      <w:pPr>
        <w:spacing w:after="0"/>
      </w:pPr>
    </w:p>
    <w:p w14:paraId="1558B236" w14:textId="77777777" w:rsidR="00721C8B" w:rsidRDefault="00000000">
      <w:pPr>
        <w:pStyle w:val="21"/>
      </w:pPr>
      <w:r>
        <w:t>Интерпретация</w:t>
      </w:r>
    </w:p>
    <w:p w14:paraId="06B96E34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Количество выросло на 20%, выручка — на 8%, но вклад уменьшился на 4 000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>, или на 10% относительно исходного. Следовательно, рост продаж не обеспечил сохранение вклада при заданных допущениях. Нельзя назвать разницу снижением чистой прибыли без полного учета остальных статей.</w:t>
      </w:r>
    </w:p>
    <w:p w14:paraId="12C5774B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Порог компенсации</w:t>
      </w:r>
    </w:p>
    <w:p w14:paraId="3C7E26C7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Необходимый объем: 100 × 400 / 300 ≈ 133,33 единицы. Если продаются только целые единицы, не менее 134. При 134 единицах вклад равен 40 200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>. Этот порог изменится при росте затрат на доставку, рекламу или обслуживание.</w:t>
      </w:r>
    </w:p>
    <w:p w14:paraId="4EA2726A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Что остается неизвестным</w:t>
      </w:r>
    </w:p>
    <w:p w14:paraId="490C2958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Не установлено, какая часть роста вызвана скидкой, были ли покупки перенесены из будущего и изменился ли спрос на другие товары. Поэтому расчет описывает экономику двух состояний, но не доказывает причинный эффект акции. Для следующего теста нужны сопоставимые условия и более подходящий период наблюдения.</w:t>
      </w:r>
    </w:p>
    <w:p w14:paraId="729AF0D4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Решение</w:t>
      </w:r>
    </w:p>
    <w:p w14:paraId="3D15E961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Команда не должна автоматически повторять массовую скидку. Возможны меньшая скидка, предложение только релевантного набора, улучшение информации о ценности или отказ от акции. Выбор требует отдельной гипотезы и проверки. Полезно сохранить прозрачную цену и не пытаться компенсировать слабую экономику скрытыми обязательными платежами.</w:t>
      </w:r>
    </w:p>
    <w:p w14:paraId="0CA70B87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Кейс демонстрирует, почему поведенческий результат необходимо связывать с маржинальным вкладом. Компания может продать больше и получить меньше ресурсов для устойчивого исполнения обещаний.</w:t>
      </w:r>
    </w:p>
    <w:p w14:paraId="7F71F2FC" w14:textId="77777777" w:rsidR="00721C8B" w:rsidRPr="002B1081" w:rsidRDefault="00000000">
      <w:pPr>
        <w:pStyle w:val="1"/>
        <w:pageBreakBefore/>
        <w:rPr>
          <w:lang w:val="ru-RU"/>
        </w:rPr>
      </w:pPr>
      <w:r w:rsidRPr="002B1081">
        <w:rPr>
          <w:lang w:val="ru-RU"/>
        </w:rPr>
        <w:lastRenderedPageBreak/>
        <w:t>7. Самопроверка и самостоятельная работа</w:t>
      </w:r>
    </w:p>
    <w:p w14:paraId="5183AF8C" w14:textId="77777777" w:rsidR="00721C8B" w:rsidRPr="002B1081" w:rsidRDefault="00000000">
      <w:pPr>
        <w:pStyle w:val="Question"/>
        <w:rPr>
          <w:lang w:val="ru-RU"/>
        </w:rPr>
      </w:pPr>
      <w:r w:rsidRPr="002B1081">
        <w:rPr>
          <w:lang w:val="ru-RU"/>
        </w:rPr>
        <w:t>1. Чем референтная цена отличается от цены продавца?</w:t>
      </w:r>
    </w:p>
    <w:p w14:paraId="43F26D65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Ориентир: это ориентир в сравнении потребителя, который может формироваться из прошлого опыта и альтернатив. Он не обязательно совпадает с заявленной обычной ценой.</w:t>
      </w:r>
    </w:p>
    <w:p w14:paraId="465B85DF" w14:textId="77777777" w:rsidR="00721C8B" w:rsidRPr="002B1081" w:rsidRDefault="00000000">
      <w:pPr>
        <w:pStyle w:val="Question"/>
        <w:rPr>
          <w:lang w:val="ru-RU"/>
        </w:rPr>
      </w:pPr>
      <w:r w:rsidRPr="002B1081">
        <w:rPr>
          <w:lang w:val="ru-RU"/>
        </w:rPr>
        <w:t>2. Почему цену упаковки нельзя всегда сравнивать напрямую?</w:t>
      </w:r>
    </w:p>
    <w:p w14:paraId="402B8F1C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Ориентир: различаются объем, состав, качество и обязательные расходы. Нужны сопоставимые единицы и условия, включая то, что действительно требуется покупателю.</w:t>
      </w:r>
    </w:p>
    <w:p w14:paraId="621DE981" w14:textId="77777777" w:rsidR="00721C8B" w:rsidRPr="002B1081" w:rsidRDefault="00000000">
      <w:pPr>
        <w:pStyle w:val="Question"/>
        <w:rPr>
          <w:lang w:val="ru-RU"/>
        </w:rPr>
      </w:pPr>
      <w:r w:rsidRPr="002B1081">
        <w:rPr>
          <w:lang w:val="ru-RU"/>
        </w:rPr>
        <w:t>3. Что означает дуговая эластичность −1,73?</w:t>
      </w:r>
    </w:p>
    <w:p w14:paraId="3093ECE1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Ориентир: в данном интервале относительное изменение количества по средней базе больше изменения цены по модулю. Без контроля иных факторов это не обязательно чистый причинный эффект цены.</w:t>
      </w:r>
    </w:p>
    <w:p w14:paraId="35F3469C" w14:textId="77777777" w:rsidR="00721C8B" w:rsidRPr="002B1081" w:rsidRDefault="00000000">
      <w:pPr>
        <w:pStyle w:val="Question"/>
        <w:rPr>
          <w:lang w:val="ru-RU"/>
        </w:rPr>
      </w:pPr>
      <w:r w:rsidRPr="002B1081">
        <w:rPr>
          <w:lang w:val="ru-RU"/>
        </w:rPr>
        <w:t>4. Почему скидка 10% может требовать роста объема более 10%?</w:t>
      </w:r>
    </w:p>
    <w:p w14:paraId="50E8A477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Ориентир: скидка уменьшает вклад с каждой единицы, а переменные затраты не исчезают. Требуемый рост зависит от исходной маржи, новой цены и дополнительных расходов.</w:t>
      </w:r>
    </w:p>
    <w:p w14:paraId="07FA4240" w14:textId="77777777" w:rsidR="00721C8B" w:rsidRPr="002B1081" w:rsidRDefault="00000000">
      <w:pPr>
        <w:pStyle w:val="Question"/>
        <w:rPr>
          <w:lang w:val="ru-RU"/>
        </w:rPr>
      </w:pPr>
      <w:r w:rsidRPr="002B1081">
        <w:rPr>
          <w:lang w:val="ru-RU"/>
        </w:rPr>
        <w:t>5. Зачем смотреть период после акции?</w:t>
      </w:r>
    </w:p>
    <w:p w14:paraId="26CC3CA3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Ориентир: часть покупок могла быть перенесена из будущего. Только короткое окно способно завысить оценку дополнительного спроса.</w:t>
      </w:r>
    </w:p>
    <w:p w14:paraId="043EF337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Самостоятельное задание</w:t>
      </w:r>
    </w:p>
    <w:p w14:paraId="7E0528B8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При исходной цене 2 000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 xml:space="preserve">, переменных затратах 1 200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 xml:space="preserve"> и объеме 80 единиц компания рассматривает цену 1 800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>. Рассчитайте исходный вклад и необходимый целый объем для его сохранения. Затем предложите две альтернативы массовой скидке и план проверки одной из них.</w:t>
      </w:r>
    </w:p>
    <w:p w14:paraId="26F80D56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 xml:space="preserve">Ориентир для арифметической самопроверки: исходный вклад 64 000 </w:t>
      </w:r>
      <w:proofErr w:type="spellStart"/>
      <w:r w:rsidRPr="002B1081">
        <w:rPr>
          <w:lang w:val="ru-RU"/>
        </w:rPr>
        <w:t>тг</w:t>
      </w:r>
      <w:proofErr w:type="spellEnd"/>
      <w:r w:rsidRPr="002B1081">
        <w:rPr>
          <w:lang w:val="ru-RU"/>
        </w:rPr>
        <w:t>; необходимый объем не менее 107 единиц при указанных допущениях. Основная часть ответа — объяснение условий, дополнительных данных и потребительских ограничений. Объем — 600–800 слов.</w:t>
      </w:r>
    </w:p>
    <w:p w14:paraId="152464B3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Критерии качества</w:t>
      </w:r>
    </w:p>
    <w:p w14:paraId="3037F34E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Расчеты — 30%; интерпретация — 25%; альтернативы и дизайн проверки — 25%; прозрачность условий — 20%.</w:t>
      </w:r>
    </w:p>
    <w:p w14:paraId="6D7DCDBA" w14:textId="77777777" w:rsidR="00721C8B" w:rsidRPr="002B1081" w:rsidRDefault="00000000">
      <w:pPr>
        <w:pStyle w:val="1"/>
        <w:pageBreakBefore/>
        <w:rPr>
          <w:lang w:val="ru-RU"/>
        </w:rPr>
      </w:pPr>
      <w:r w:rsidRPr="002B1081">
        <w:rPr>
          <w:lang w:val="ru-RU"/>
        </w:rPr>
        <w:lastRenderedPageBreak/>
        <w:t>8. Итоги и опорные понятия</w:t>
      </w:r>
    </w:p>
    <w:p w14:paraId="0E4A42F9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Цена участвует в доступности, восприятии ценности и сравнении альтернатив. Ее эффект зависит от задачи, заменителей, условий и способа представления. Поэтому анализ должен соединять правильность понимания, фактическое поведение и экономический результат, не подменяя один уровень другим.</w:t>
      </w:r>
    </w:p>
    <w:p w14:paraId="51F7FB3C" w14:textId="77777777" w:rsidR="00721C8B" w:rsidRPr="002B1081" w:rsidRDefault="00000000">
      <w:pPr>
        <w:rPr>
          <w:lang w:val="ru-RU"/>
        </w:rPr>
      </w:pPr>
      <w:r w:rsidRPr="002B1081">
        <w:rPr>
          <w:lang w:val="ru-RU"/>
        </w:rPr>
        <w:t>Рост количества и выручки не гарантирует увеличения маржинального вклада. Наблюдаемое изменение после акции не доказывает дополнительного эффекта. Хорошее решение показывает базу сравнения, период, состав расходов и ограничения, сохраняя для потребителя ясную полную стоимость.</w:t>
      </w:r>
    </w:p>
    <w:p w14:paraId="316E1027" w14:textId="77777777" w:rsidR="00721C8B" w:rsidRPr="002B1081" w:rsidRDefault="00000000">
      <w:pPr>
        <w:pStyle w:val="21"/>
        <w:rPr>
          <w:lang w:val="ru-RU"/>
        </w:rPr>
      </w:pPr>
      <w:r w:rsidRPr="002B1081">
        <w:rPr>
          <w:lang w:val="ru-RU"/>
        </w:rPr>
        <w:t>Мини-глоссарий</w:t>
      </w:r>
    </w:p>
    <w:p w14:paraId="666E7C76" w14:textId="77777777" w:rsidR="00721C8B" w:rsidRPr="002B1081" w:rsidRDefault="00000000">
      <w:pPr>
        <w:rPr>
          <w:lang w:val="ru-RU"/>
        </w:rPr>
      </w:pPr>
      <w:r w:rsidRPr="002B1081">
        <w:rPr>
          <w:b/>
          <w:lang w:val="ru-RU"/>
        </w:rPr>
        <w:t>Референтная цена</w:t>
      </w:r>
      <w:r w:rsidRPr="002B1081">
        <w:rPr>
          <w:lang w:val="ru-RU"/>
        </w:rPr>
        <w:t xml:space="preserve"> — ориентир, относительно которого оценивается стоимость предложения.</w:t>
      </w:r>
    </w:p>
    <w:p w14:paraId="37A9A1F8" w14:textId="77777777" w:rsidR="00721C8B" w:rsidRPr="002B1081" w:rsidRDefault="00000000">
      <w:pPr>
        <w:rPr>
          <w:lang w:val="ru-RU"/>
        </w:rPr>
      </w:pPr>
      <w:r w:rsidRPr="002B1081">
        <w:rPr>
          <w:b/>
          <w:lang w:val="ru-RU"/>
        </w:rPr>
        <w:t>Ценовая чувствительность</w:t>
      </w:r>
      <w:r w:rsidRPr="002B1081">
        <w:rPr>
          <w:lang w:val="ru-RU"/>
        </w:rPr>
        <w:t xml:space="preserve"> — зависимость реакции на цену от условий и задачи выбора.</w:t>
      </w:r>
    </w:p>
    <w:p w14:paraId="01B77E8A" w14:textId="77777777" w:rsidR="00721C8B" w:rsidRPr="002B1081" w:rsidRDefault="00000000">
      <w:pPr>
        <w:rPr>
          <w:lang w:val="ru-RU"/>
        </w:rPr>
      </w:pPr>
      <w:r w:rsidRPr="002B1081">
        <w:rPr>
          <w:b/>
          <w:lang w:val="ru-RU"/>
        </w:rPr>
        <w:t>Дуговая эластичность</w:t>
      </w:r>
      <w:r w:rsidRPr="002B1081">
        <w:rPr>
          <w:lang w:val="ru-RU"/>
        </w:rPr>
        <w:t xml:space="preserve"> — отношение относительных изменений количества и цены, рассчитанных по средним базам.</w:t>
      </w:r>
    </w:p>
    <w:p w14:paraId="777E26A2" w14:textId="77777777" w:rsidR="00721C8B" w:rsidRPr="002B1081" w:rsidRDefault="00000000">
      <w:pPr>
        <w:rPr>
          <w:lang w:val="ru-RU"/>
        </w:rPr>
      </w:pPr>
      <w:r w:rsidRPr="002B1081">
        <w:rPr>
          <w:b/>
          <w:lang w:val="ru-RU"/>
        </w:rPr>
        <w:t>Маржинальный вклад</w:t>
      </w:r>
      <w:r w:rsidRPr="002B1081">
        <w:rPr>
          <w:lang w:val="ru-RU"/>
        </w:rPr>
        <w:t xml:space="preserve"> — выручка за вычетом учитываемых переменных затрат.</w:t>
      </w:r>
    </w:p>
    <w:p w14:paraId="3D9CFF07" w14:textId="77777777" w:rsidR="00721C8B" w:rsidRPr="002B1081" w:rsidRDefault="00000000">
      <w:pPr>
        <w:rPr>
          <w:lang w:val="ru-RU"/>
        </w:rPr>
      </w:pPr>
      <w:r w:rsidRPr="002B1081">
        <w:rPr>
          <w:b/>
          <w:lang w:val="ru-RU"/>
        </w:rPr>
        <w:t>Каннибализация</w:t>
      </w:r>
      <w:r w:rsidRPr="002B1081">
        <w:rPr>
          <w:lang w:val="ru-RU"/>
        </w:rPr>
        <w:t xml:space="preserve"> — замещение продаж одного предложения другим внутри бизнеса.</w:t>
      </w:r>
    </w:p>
    <w:p w14:paraId="4AF088C8" w14:textId="77777777" w:rsidR="00721C8B" w:rsidRPr="002B1081" w:rsidRDefault="00000000">
      <w:pPr>
        <w:rPr>
          <w:lang w:val="ru-RU"/>
        </w:rPr>
      </w:pPr>
      <w:r w:rsidRPr="002B1081">
        <w:rPr>
          <w:b/>
          <w:lang w:val="ru-RU"/>
        </w:rPr>
        <w:t>Дополнительный эффект</w:t>
      </w:r>
      <w:r w:rsidRPr="002B1081">
        <w:rPr>
          <w:lang w:val="ru-RU"/>
        </w:rPr>
        <w:t xml:space="preserve"> — разница относительно обоснованного сценария без воздействия.</w:t>
      </w:r>
    </w:p>
    <w:p w14:paraId="08BC4750" w14:textId="77777777" w:rsidR="00721C8B" w:rsidRDefault="00000000">
      <w:pPr>
        <w:pStyle w:val="21"/>
      </w:pPr>
      <w:proofErr w:type="spellStart"/>
      <w:r>
        <w:t>Источники</w:t>
      </w:r>
      <w:proofErr w:type="spellEnd"/>
      <w:r>
        <w:t xml:space="preserve"> и </w:t>
      </w:r>
      <w:proofErr w:type="spellStart"/>
      <w:r>
        <w:t>дальнейшее</w:t>
      </w:r>
      <w:proofErr w:type="spellEnd"/>
      <w:r>
        <w:t xml:space="preserve"> </w:t>
      </w:r>
      <w:proofErr w:type="spellStart"/>
      <w:r>
        <w:t>чтение</w:t>
      </w:r>
      <w:proofErr w:type="spellEnd"/>
    </w:p>
    <w:p w14:paraId="3A0875B2" w14:textId="77777777" w:rsidR="00721C8B" w:rsidRDefault="00000000">
      <w:pPr>
        <w:pStyle w:val="Small"/>
        <w:keepNext/>
      </w:pPr>
      <w:r>
        <w:t>[1] Gomez Albrecht M., Green M., Hoffman L. Principles of Marketing. OpenStax, 2023. § 12.1: Pricing and Its Role in the Marketing Mix.</w:t>
      </w:r>
    </w:p>
    <w:p w14:paraId="7197F8E4" w14:textId="77777777" w:rsidR="00721C8B" w:rsidRDefault="00000000">
      <w:pPr>
        <w:pStyle w:val="Small"/>
      </w:pPr>
      <w:hyperlink r:id="rId8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6E342AC0" w14:textId="77777777" w:rsidR="00721C8B" w:rsidRDefault="00000000">
      <w:pPr>
        <w:pStyle w:val="Small"/>
        <w:keepNext/>
      </w:pPr>
      <w:r>
        <w:t>[2] Kahneman D., Tversky A. Prospect Theory: An Analysis of Decision under Risk. Econometrica. 1979. 47(2): 263–291. DOI: 10.2307/1914185.</w:t>
      </w:r>
    </w:p>
    <w:p w14:paraId="6259058E" w14:textId="77777777" w:rsidR="00721C8B" w:rsidRDefault="00000000">
      <w:pPr>
        <w:pStyle w:val="Small"/>
      </w:pPr>
      <w:hyperlink r:id="rId9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0C36F188" w14:textId="77777777" w:rsidR="00721C8B" w:rsidRPr="002B1081" w:rsidRDefault="00000000">
      <w:pPr>
        <w:pStyle w:val="Small"/>
        <w:keepNext/>
        <w:rPr>
          <w:lang w:val="ru-RU"/>
        </w:rPr>
      </w:pPr>
      <w:r>
        <w:t xml:space="preserve">[3] OECD. Dark Commercial Patterns. OECD Digital Economy Papers. </w:t>
      </w:r>
      <w:r w:rsidRPr="002B1081">
        <w:rPr>
          <w:lang w:val="ru-RU"/>
        </w:rPr>
        <w:t xml:space="preserve">2022. </w:t>
      </w:r>
      <w:r>
        <w:t>No</w:t>
      </w:r>
      <w:r w:rsidRPr="002B1081">
        <w:rPr>
          <w:lang w:val="ru-RU"/>
        </w:rPr>
        <w:t xml:space="preserve">. 336. </w:t>
      </w:r>
      <w:r>
        <w:t>DOI</w:t>
      </w:r>
      <w:r w:rsidRPr="002B1081">
        <w:rPr>
          <w:lang w:val="ru-RU"/>
        </w:rPr>
        <w:t>: 10.1787/44</w:t>
      </w:r>
      <w:r>
        <w:t>f</w:t>
      </w:r>
      <w:r w:rsidRPr="002B1081">
        <w:rPr>
          <w:lang w:val="ru-RU"/>
        </w:rPr>
        <w:t>5</w:t>
      </w:r>
      <w:r>
        <w:t>e</w:t>
      </w:r>
      <w:r w:rsidRPr="002B1081">
        <w:rPr>
          <w:lang w:val="ru-RU"/>
        </w:rPr>
        <w:t>846-</w:t>
      </w:r>
      <w:proofErr w:type="spellStart"/>
      <w:r>
        <w:t>en</w:t>
      </w:r>
      <w:proofErr w:type="spellEnd"/>
      <w:r w:rsidRPr="002B1081">
        <w:rPr>
          <w:lang w:val="ru-RU"/>
        </w:rPr>
        <w:t>.</w:t>
      </w:r>
    </w:p>
    <w:p w14:paraId="32DC92D3" w14:textId="77777777" w:rsidR="00721C8B" w:rsidRPr="002B1081" w:rsidRDefault="00000000">
      <w:pPr>
        <w:pStyle w:val="Small"/>
        <w:rPr>
          <w:lang w:val="ru-RU"/>
        </w:rPr>
      </w:pPr>
      <w:hyperlink r:id="rId10">
        <w:r w:rsidRPr="002B1081">
          <w:rPr>
            <w:color w:val="236C78"/>
            <w:u w:val="single"/>
            <w:lang w:val="ru-RU"/>
          </w:rPr>
          <w:t>Открыть источник</w:t>
        </w:r>
      </w:hyperlink>
    </w:p>
    <w:p w14:paraId="214FFC43" w14:textId="5C8F4F43" w:rsidR="00721C8B" w:rsidRPr="002B1081" w:rsidRDefault="00721C8B">
      <w:pPr>
        <w:rPr>
          <w:lang w:val="ru-RU"/>
        </w:rPr>
      </w:pPr>
    </w:p>
    <w:sectPr w:rsidR="00721C8B" w:rsidRPr="002B1081" w:rsidSect="00034616">
      <w:headerReference w:type="default" r:id="rId11"/>
      <w:footerReference w:type="default" r:id="rId12"/>
      <w:pgSz w:w="11906" w:h="16838"/>
      <w:pgMar w:top="1049" w:right="1247" w:bottom="1020" w:left="1247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B00DD" w14:textId="77777777" w:rsidR="00EF4147" w:rsidRDefault="00EF4147">
      <w:pPr>
        <w:spacing w:after="0" w:line="240" w:lineRule="auto"/>
      </w:pPr>
      <w:r>
        <w:separator/>
      </w:r>
    </w:p>
  </w:endnote>
  <w:endnote w:type="continuationSeparator" w:id="0">
    <w:p w14:paraId="25A98DC2" w14:textId="77777777" w:rsidR="00EF4147" w:rsidRDefault="00EF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0733" w14:textId="27E02244" w:rsidR="00721C8B" w:rsidRDefault="00721C8B">
    <w:pPr>
      <w:pStyle w:val="a7"/>
      <w:tabs>
        <w:tab w:val="right" w:pos="941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7A518" w14:textId="77777777" w:rsidR="00EF4147" w:rsidRDefault="00EF4147">
      <w:pPr>
        <w:spacing w:after="0" w:line="240" w:lineRule="auto"/>
      </w:pPr>
      <w:r>
        <w:separator/>
      </w:r>
    </w:p>
  </w:footnote>
  <w:footnote w:type="continuationSeparator" w:id="0">
    <w:p w14:paraId="60FDA255" w14:textId="77777777" w:rsidR="00EF4147" w:rsidRDefault="00EF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C1313" w14:textId="7DB1C504" w:rsidR="00721C8B" w:rsidRDefault="00721C8B">
    <w:pPr>
      <w:pStyle w:val="a5"/>
      <w:pBdr>
        <w:bottom w:val="single" w:sz="4" w:space="0" w:color="CEDDE2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3052748">
    <w:abstractNumId w:val="8"/>
  </w:num>
  <w:num w:numId="2" w16cid:durableId="126894487">
    <w:abstractNumId w:val="6"/>
  </w:num>
  <w:num w:numId="3" w16cid:durableId="1123423316">
    <w:abstractNumId w:val="5"/>
  </w:num>
  <w:num w:numId="4" w16cid:durableId="740254324">
    <w:abstractNumId w:val="4"/>
  </w:num>
  <w:num w:numId="5" w16cid:durableId="987824979">
    <w:abstractNumId w:val="7"/>
  </w:num>
  <w:num w:numId="6" w16cid:durableId="1291328047">
    <w:abstractNumId w:val="3"/>
  </w:num>
  <w:num w:numId="7" w16cid:durableId="1834446167">
    <w:abstractNumId w:val="2"/>
  </w:num>
  <w:num w:numId="8" w16cid:durableId="2061636640">
    <w:abstractNumId w:val="1"/>
  </w:num>
  <w:num w:numId="9" w16cid:durableId="326831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1081"/>
    <w:rsid w:val="00326F90"/>
    <w:rsid w:val="00721C8B"/>
    <w:rsid w:val="00AA1D8D"/>
    <w:rsid w:val="00B47730"/>
    <w:rsid w:val="00CB0664"/>
    <w:rsid w:val="00EF4147"/>
    <w:rsid w:val="00FC693F"/>
    <w:rsid w:val="00FE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E051A6"/>
  <w14:defaultImageDpi w14:val="300"/>
  <w15:docId w15:val="{9401A906-B207-461A-964D-A466C6FC4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3323A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/>
      <w:b/>
      <w:bCs/>
      <w:color w:val="193A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/>
      <w:b/>
      <w:bCs/>
      <w:color w:val="236C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160"/>
      <w:outlineLvl w:val="2"/>
    </w:pPr>
    <w:rPr>
      <w:rFonts w:asciiTheme="majorHAnsi" w:eastAsiaTheme="majorEastAsia" w:hAnsiTheme="majorHAnsi" w:cstheme="majorBidi"/>
      <w:b/>
      <w:bCs/>
      <w:color w:val="193A4A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93A4A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a1"/>
    <w:pPr>
      <w:spacing w:after="100"/>
    </w:pPr>
    <w:rPr>
      <w:rFonts w:ascii="Arial" w:hAnsi="Arial"/>
      <w:sz w:val="21"/>
    </w:rPr>
  </w:style>
  <w:style w:type="paragraph" w:customStyle="1" w:styleId="Small">
    <w:name w:val="Small"/>
    <w:basedOn w:val="a1"/>
    <w:pPr>
      <w:spacing w:after="100"/>
    </w:pPr>
    <w:rPr>
      <w:rFonts w:ascii="Arial" w:hAnsi="Arial"/>
      <w:sz w:val="21"/>
    </w:rPr>
  </w:style>
  <w:style w:type="paragraph" w:customStyle="1" w:styleId="Callout">
    <w:name w:val="Callout"/>
    <w:basedOn w:val="a1"/>
    <w:pPr>
      <w:spacing w:before="100" w:after="200"/>
      <w:ind w:left="142" w:right="85"/>
    </w:pPr>
    <w:rPr>
      <w:rFonts w:ascii="Arial" w:hAnsi="Arial"/>
      <w:color w:val="245C65"/>
      <w:sz w:val="23"/>
    </w:rPr>
  </w:style>
  <w:style w:type="paragraph" w:customStyle="1" w:styleId="Question">
    <w:name w:val="Question"/>
    <w:basedOn w:val="a1"/>
    <w:pPr>
      <w:keepNext/>
      <w:spacing w:after="10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stax.org/books/principles-marketing/pages/12-1-pricing-and-its-role-in-the-marketing-mi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oecd.org/en/publications/dark-commercial-patterns_44f5e846-e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mit.edu/curhan/www/docs/Articles/15341_Readings/Behavioral_Decision_Theory/Kahneman_Tversky_1979_Prospect_theory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2569</Words>
  <Characters>14647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Ценовое восприятие и реакция на рыночные предложения</dc:title>
  <dc:subject>Управление поведением потребителей на рынке — лекционный курс</dc:subject>
  <dc:creator>Учебные материалы</dc:creator>
  <cp:keywords>бакалавриат; потребительское поведение;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2026-09-28T09:49:00Z</dcterms:modified>
  <cp:category/>
</cp:coreProperties>
</file>