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E16B0" w14:textId="77777777" w:rsidR="0052114A" w:rsidRPr="00031F5D" w:rsidRDefault="00000000">
      <w:pPr>
        <w:pStyle w:val="aa"/>
        <w:rPr>
          <w:lang w:val="ru-RU"/>
        </w:rPr>
      </w:pPr>
      <w:r w:rsidRPr="00031F5D">
        <w:rPr>
          <w:lang w:val="ru-RU"/>
        </w:rPr>
        <w:t>Потребительская ценность, продукт, бренд и принятие инноваций</w:t>
      </w:r>
    </w:p>
    <w:p w14:paraId="2C8958D2" w14:textId="77777777" w:rsidR="0052114A" w:rsidRPr="00031F5D" w:rsidRDefault="00000000">
      <w:pPr>
        <w:pStyle w:val="Small"/>
        <w:rPr>
          <w:lang w:val="ru-RU"/>
        </w:rPr>
      </w:pPr>
      <w:r w:rsidRPr="00031F5D">
        <w:rPr>
          <w:lang w:val="ru-RU"/>
        </w:rPr>
        <w:t>Лекция 9 • Неделя 9 • Курс «Управление поведением потребителей на рынке»</w:t>
      </w:r>
    </w:p>
    <w:p w14:paraId="213EEAE4" w14:textId="77777777" w:rsidR="0052114A" w:rsidRPr="00031F5D" w:rsidRDefault="00000000">
      <w:pPr>
        <w:pStyle w:val="21"/>
        <w:rPr>
          <w:lang w:val="ru-RU"/>
        </w:rPr>
      </w:pPr>
      <w:r w:rsidRPr="00031F5D">
        <w:rPr>
          <w:lang w:val="ru-RU"/>
        </w:rPr>
        <w:t>Вопросы лекции</w:t>
      </w:r>
    </w:p>
    <w:p w14:paraId="05C5FDFB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1. Как соотносятся выгоды и совокупные затраты потребителя?</w:t>
      </w:r>
    </w:p>
    <w:p w14:paraId="17AD2ECC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2. Как переводить характеристики продукта в значимые преимущества?</w:t>
      </w:r>
    </w:p>
    <w:p w14:paraId="69E90CD1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3. Как бренд участвует в ожиданиях, доверии и сравнении?</w:t>
      </w:r>
    </w:p>
    <w:p w14:paraId="2C9D9D6C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4. Как ассортимент и новизна влияют на принятие предложения?</w:t>
      </w:r>
    </w:p>
    <w:p w14:paraId="35ACF680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5. Как проверять ценностное предложение и условия использования?</w:t>
      </w:r>
    </w:p>
    <w:p w14:paraId="30C57707" w14:textId="77777777" w:rsidR="0052114A" w:rsidRPr="00031F5D" w:rsidRDefault="00000000">
      <w:pPr>
        <w:pStyle w:val="1"/>
        <w:pageBreakBefore/>
        <w:rPr>
          <w:lang w:val="ru-RU"/>
        </w:rPr>
      </w:pPr>
      <w:r w:rsidRPr="00031F5D">
        <w:rPr>
          <w:lang w:val="ru-RU"/>
        </w:rPr>
        <w:lastRenderedPageBreak/>
        <w:t>1. Ценность как соотношение результата и затрат</w:t>
      </w:r>
    </w:p>
    <w:p w14:paraId="22740343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Потребительская ценность описывает, насколько предложение помогает решить задачу с учетом того, чем приходится пожертвовать. Выгоды могут включать функциональный результат, удобство, эмоциональный опыт и социальный смысл. Затраты — цену, время, усилия, обучение, хранение, обслуживание и неопределенность. Это аналитическая карта, а не обязательная арифметическая формула с одинаковыми единицами.</w:t>
      </w:r>
    </w:p>
    <w:p w14:paraId="57ADF243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Низкая цена не гарантирует высокой ценности, если продукт не подходит или требует чрезмерных дополнительных расходов. Высокая цена также не доказывает качества. Для сравнения важно определить сценарий: как часто используется товар, какие условия обязательны и какие альтернативы доступны.</w:t>
      </w:r>
    </w:p>
    <w:p w14:paraId="4733D4C6" w14:textId="77777777" w:rsidR="0052114A" w:rsidRPr="00031F5D" w:rsidRDefault="00000000">
      <w:pPr>
        <w:pStyle w:val="21"/>
        <w:rPr>
          <w:lang w:val="ru-RU"/>
        </w:rPr>
      </w:pPr>
      <w:r w:rsidRPr="00031F5D">
        <w:rPr>
          <w:lang w:val="ru-RU"/>
        </w:rPr>
        <w:t>Совокупные затраты</w:t>
      </w:r>
    </w:p>
    <w:p w14:paraId="2A768101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Цена приобретения — только часть решения. Потребителю могут понадобиться расходные материалы, установка, доставка, время на настройку и последующее обслуживание. Некоторые расходы вероятностны или зависят от интенсивности использования; их нельзя представлять как точную гарантированную сумму без допущений.</w:t>
      </w:r>
    </w:p>
    <w:p w14:paraId="1F3FCB5F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Например, многоразовая система может быть выгодна при регулярном использовании, но не при единственном эпизоде. В отчете следует показать условия, при которых сравнение меняется. Это полезнее безусловного утверждения «экономит всем».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3402"/>
        <w:gridCol w:w="3855"/>
      </w:tblGrid>
      <w:tr w:rsidR="0052114A" w14:paraId="4C727833" w14:textId="77777777">
        <w:trPr>
          <w:cantSplit/>
          <w:tblHeader/>
          <w:jc w:val="center"/>
        </w:trPr>
        <w:tc>
          <w:tcPr>
            <w:tcW w:w="2154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D69C457" w14:textId="77777777" w:rsidR="0052114A" w:rsidRDefault="00000000">
            <w:pPr>
              <w:pStyle w:val="TableText"/>
            </w:pPr>
            <w:proofErr w:type="spellStart"/>
            <w:r>
              <w:rPr>
                <w:rFonts w:eastAsia="Arial" w:cs="Arial"/>
                <w:b/>
                <w:color w:val="FFFFFF"/>
              </w:rPr>
              <w:t>Элемент</w:t>
            </w:r>
            <w:proofErr w:type="spellEnd"/>
          </w:p>
        </w:tc>
        <w:tc>
          <w:tcPr>
            <w:tcW w:w="3402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D9E2CBA" w14:textId="77777777" w:rsidR="0052114A" w:rsidRDefault="00000000">
            <w:pPr>
              <w:pStyle w:val="TableText"/>
            </w:pPr>
            <w:r>
              <w:rPr>
                <w:rFonts w:eastAsia="Arial" w:cs="Arial"/>
                <w:b/>
                <w:color w:val="FFFFFF"/>
              </w:rPr>
              <w:t>Вопрос потребителя</w:t>
            </w:r>
          </w:p>
        </w:tc>
        <w:tc>
          <w:tcPr>
            <w:tcW w:w="3855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8269D70" w14:textId="77777777" w:rsidR="0052114A" w:rsidRDefault="00000000">
            <w:pPr>
              <w:pStyle w:val="TableText"/>
            </w:pPr>
            <w:r>
              <w:rPr>
                <w:rFonts w:eastAsia="Arial" w:cs="Arial"/>
                <w:b/>
                <w:color w:val="FFFFFF"/>
              </w:rPr>
              <w:t>Способ подтверждения</w:t>
            </w:r>
          </w:p>
        </w:tc>
      </w:tr>
      <w:tr w:rsidR="0052114A" w14:paraId="4CF56126" w14:textId="77777777">
        <w:trPr>
          <w:cantSplit/>
          <w:jc w:val="center"/>
        </w:trPr>
        <w:tc>
          <w:tcPr>
            <w:tcW w:w="2154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E7A244D" w14:textId="77777777" w:rsidR="0052114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Результат</w:t>
            </w:r>
          </w:p>
        </w:tc>
        <w:tc>
          <w:tcPr>
            <w:tcW w:w="3402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ECF8DC5" w14:textId="77777777" w:rsidR="0052114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Какую задачу я решу?</w:t>
            </w:r>
          </w:p>
        </w:tc>
        <w:tc>
          <w:tcPr>
            <w:tcW w:w="3855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B7E7257" w14:textId="77777777" w:rsidR="0052114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Демонстрация в релевантном сценарии</w:t>
            </w:r>
          </w:p>
        </w:tc>
      </w:tr>
      <w:tr w:rsidR="0052114A" w:rsidRPr="00031F5D" w14:paraId="0D3EA8D1" w14:textId="77777777">
        <w:trPr>
          <w:cantSplit/>
          <w:jc w:val="center"/>
        </w:trPr>
        <w:tc>
          <w:tcPr>
            <w:tcW w:w="2154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C9CDE12" w14:textId="77777777" w:rsidR="0052114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Удобство</w:t>
            </w:r>
          </w:p>
        </w:tc>
        <w:tc>
          <w:tcPr>
            <w:tcW w:w="3402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9004EA1" w14:textId="77777777" w:rsidR="0052114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Сколько усилий потребуется?</w:t>
            </w:r>
          </w:p>
        </w:tc>
        <w:tc>
          <w:tcPr>
            <w:tcW w:w="3855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BD53428" w14:textId="77777777" w:rsidR="0052114A" w:rsidRPr="00031F5D" w:rsidRDefault="00000000">
            <w:pPr>
              <w:pStyle w:val="TableText"/>
              <w:rPr>
                <w:lang w:val="ru-RU"/>
              </w:rPr>
            </w:pPr>
            <w:r w:rsidRPr="00031F5D">
              <w:rPr>
                <w:rFonts w:eastAsia="Arial" w:cs="Arial"/>
                <w:color w:val="243B48"/>
                <w:lang w:val="ru-RU"/>
              </w:rPr>
              <w:t>Понятная процедура и тест выполнения</w:t>
            </w:r>
          </w:p>
        </w:tc>
      </w:tr>
      <w:tr w:rsidR="0052114A" w:rsidRPr="00031F5D" w14:paraId="0FBABDF4" w14:textId="77777777">
        <w:trPr>
          <w:cantSplit/>
          <w:jc w:val="center"/>
        </w:trPr>
        <w:tc>
          <w:tcPr>
            <w:tcW w:w="2154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7DF1BF0" w14:textId="77777777" w:rsidR="0052114A" w:rsidRDefault="00000000">
            <w:pPr>
              <w:pStyle w:val="TableText"/>
            </w:pPr>
            <w:proofErr w:type="spellStart"/>
            <w:r>
              <w:rPr>
                <w:rFonts w:eastAsia="Arial" w:cs="Arial"/>
                <w:color w:val="243B48"/>
              </w:rPr>
              <w:t>Денежные</w:t>
            </w:r>
            <w:proofErr w:type="spellEnd"/>
            <w:r>
              <w:rPr>
                <w:rFonts w:eastAsia="Arial" w:cs="Arial"/>
                <w:color w:val="243B48"/>
              </w:rPr>
              <w:t xml:space="preserve"> </w:t>
            </w:r>
            <w:proofErr w:type="spellStart"/>
            <w:r>
              <w:rPr>
                <w:rFonts w:eastAsia="Arial" w:cs="Arial"/>
                <w:color w:val="243B48"/>
              </w:rPr>
              <w:t>затраты</w:t>
            </w:r>
            <w:proofErr w:type="spellEnd"/>
          </w:p>
        </w:tc>
        <w:tc>
          <w:tcPr>
            <w:tcW w:w="3402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53FA101" w14:textId="77777777" w:rsidR="0052114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За что придется платить?</w:t>
            </w:r>
          </w:p>
        </w:tc>
        <w:tc>
          <w:tcPr>
            <w:tcW w:w="3855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5105C88" w14:textId="77777777" w:rsidR="0052114A" w:rsidRPr="00031F5D" w:rsidRDefault="00000000">
            <w:pPr>
              <w:pStyle w:val="TableText"/>
              <w:rPr>
                <w:lang w:val="ru-RU"/>
              </w:rPr>
            </w:pPr>
            <w:r w:rsidRPr="00031F5D">
              <w:rPr>
                <w:rFonts w:eastAsia="Arial" w:cs="Arial"/>
                <w:color w:val="243B48"/>
                <w:lang w:val="ru-RU"/>
              </w:rPr>
              <w:t>Полный состав цены и обязательных расходов</w:t>
            </w:r>
          </w:p>
        </w:tc>
      </w:tr>
      <w:tr w:rsidR="0052114A" w:rsidRPr="00031F5D" w14:paraId="5F58BB57" w14:textId="77777777">
        <w:trPr>
          <w:cantSplit/>
          <w:jc w:val="center"/>
        </w:trPr>
        <w:tc>
          <w:tcPr>
            <w:tcW w:w="2154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A15E687" w14:textId="77777777" w:rsidR="0052114A" w:rsidRDefault="00000000">
            <w:pPr>
              <w:pStyle w:val="TableText"/>
            </w:pPr>
            <w:proofErr w:type="spellStart"/>
            <w:r>
              <w:rPr>
                <w:rFonts w:eastAsia="Arial" w:cs="Arial"/>
                <w:color w:val="243B48"/>
              </w:rPr>
              <w:t>Неопределенность</w:t>
            </w:r>
            <w:proofErr w:type="spellEnd"/>
          </w:p>
        </w:tc>
        <w:tc>
          <w:tcPr>
            <w:tcW w:w="3402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53974F4" w14:textId="77777777" w:rsidR="0052114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Что останется неизвестным?</w:t>
            </w:r>
          </w:p>
        </w:tc>
        <w:tc>
          <w:tcPr>
            <w:tcW w:w="3855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848790E" w14:textId="77777777" w:rsidR="0052114A" w:rsidRPr="00031F5D" w:rsidRDefault="00000000">
            <w:pPr>
              <w:pStyle w:val="TableText"/>
              <w:rPr>
                <w:lang w:val="ru-RU"/>
              </w:rPr>
            </w:pPr>
            <w:r w:rsidRPr="00031F5D">
              <w:rPr>
                <w:rFonts w:eastAsia="Arial" w:cs="Arial"/>
                <w:color w:val="243B48"/>
                <w:lang w:val="ru-RU"/>
              </w:rPr>
              <w:t>Ограничения, условия поддержки и проверки</w:t>
            </w:r>
          </w:p>
        </w:tc>
      </w:tr>
    </w:tbl>
    <w:p w14:paraId="6A17EDB7" w14:textId="77777777" w:rsidR="0052114A" w:rsidRPr="00031F5D" w:rsidRDefault="0052114A">
      <w:pPr>
        <w:spacing w:after="0"/>
        <w:rPr>
          <w:lang w:val="ru-RU"/>
        </w:rPr>
      </w:pPr>
    </w:p>
    <w:p w14:paraId="33078203" w14:textId="77777777" w:rsidR="0052114A" w:rsidRPr="00031F5D" w:rsidRDefault="00000000">
      <w:pPr>
        <w:pStyle w:val="21"/>
        <w:rPr>
          <w:lang w:val="ru-RU"/>
        </w:rPr>
      </w:pPr>
      <w:r w:rsidRPr="00031F5D">
        <w:rPr>
          <w:lang w:val="ru-RU"/>
        </w:rPr>
        <w:t>Ценность до и после использования</w:t>
      </w:r>
    </w:p>
    <w:p w14:paraId="42138295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До покупки человек оценивает ожидаемую ценность по доступным сигналам. После использования — соотносит ожидания с полученным опытом. Если коммуникация завышает обещание, первоначальная привлекательность может сопровождаться разочарованием. Поэтому ценностное предложение должно быть согласовано с продуктом и исполнением.</w:t>
      </w:r>
    </w:p>
    <w:p w14:paraId="018571A3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Управленческая задача — выяснить, какой элемент действительно ограничивает соответствие. Иногда полезнее уменьшить усилия настройки, чем добавить функцию. Иногда нужно не менять продукт, а объяснить уже существующую возможность. Выбор действия следует из данных о задаче, а не из технологического интереса команды.</w:t>
      </w:r>
    </w:p>
    <w:p w14:paraId="77653614" w14:textId="77777777" w:rsidR="0052114A" w:rsidRPr="00031F5D" w:rsidRDefault="00000000">
      <w:pPr>
        <w:pStyle w:val="1"/>
        <w:pageBreakBefore/>
        <w:rPr>
          <w:lang w:val="ru-RU"/>
        </w:rPr>
      </w:pPr>
      <w:r w:rsidRPr="00031F5D">
        <w:rPr>
          <w:lang w:val="ru-RU"/>
        </w:rPr>
        <w:lastRenderedPageBreak/>
        <w:t>2. Характеристика, преимущество и доказательство</w:t>
      </w:r>
    </w:p>
    <w:p w14:paraId="00D8A27E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Характеристика описывает свойство продукта: объем, материал, срок, формат доступа. Преимущество объясняет, почему это свойство полезно в определенной ситуации. Доказательство показывает, на чем основано утверждение. Эти уровни нельзя заменять друг другом. Фраза «три отделения» описывает устройство, но не объясняет, для какой задачи оно удобно.</w:t>
      </w:r>
    </w:p>
    <w:p w14:paraId="11DE7925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В учебной модели продукта различают основную потребительскую полезность, собственно предложение и дополнительные элементы обслуживания [1]. Для практики это означает, что результат создается не только вещью, но и комплектностью, инструкцией, получением и поддержкой. Неудача одного слоя может ограничить ценность остальных.</w:t>
      </w:r>
    </w:p>
    <w:p w14:paraId="1EDA2ADB" w14:textId="77777777" w:rsidR="0052114A" w:rsidRPr="00031F5D" w:rsidRDefault="00000000">
      <w:pPr>
        <w:pStyle w:val="21"/>
        <w:rPr>
          <w:lang w:val="ru-RU"/>
        </w:rPr>
      </w:pPr>
      <w:r w:rsidRPr="00031F5D">
        <w:rPr>
          <w:lang w:val="ru-RU"/>
        </w:rPr>
        <w:t>Цепочка обоснования</w:t>
      </w:r>
    </w:p>
    <w:p w14:paraId="32AACB32" w14:textId="77777777" w:rsidR="0052114A" w:rsidRDefault="00000000">
      <w:r w:rsidRPr="00031F5D">
        <w:rPr>
          <w:lang w:val="ru-RU"/>
        </w:rPr>
        <w:t xml:space="preserve">Рабочая запись имеет вид: «характеристика </w:t>
      </w:r>
      <w:r>
        <w:t>X</w:t>
      </w:r>
      <w:r w:rsidRPr="00031F5D">
        <w:rPr>
          <w:lang w:val="ru-RU"/>
        </w:rPr>
        <w:t xml:space="preserve"> помогает выполнить действие </w:t>
      </w:r>
      <w:r>
        <w:t>Y</w:t>
      </w:r>
      <w:r w:rsidRPr="00031F5D">
        <w:rPr>
          <w:lang w:val="ru-RU"/>
        </w:rPr>
        <w:t xml:space="preserve"> в условиях </w:t>
      </w:r>
      <w:r>
        <w:t>Z</w:t>
      </w:r>
      <w:r w:rsidRPr="00031F5D">
        <w:rPr>
          <w:lang w:val="ru-RU"/>
        </w:rPr>
        <w:t xml:space="preserve">; подтверждение </w:t>
      </w:r>
      <w:r>
        <w:t>W</w:t>
      </w:r>
      <w:r w:rsidRPr="00031F5D">
        <w:rPr>
          <w:lang w:val="ru-RU"/>
        </w:rPr>
        <w:t xml:space="preserve">; ограничение </w:t>
      </w:r>
      <w:r>
        <w:t>Q</w:t>
      </w:r>
      <w:r w:rsidRPr="00031F5D">
        <w:rPr>
          <w:lang w:val="ru-RU"/>
        </w:rPr>
        <w:t xml:space="preserve">». Например, сменный блок ежедневника позволяет сохранять обложку при заполнении страниц, если подходящие блоки доступны и крепление совместимо. </w:t>
      </w:r>
      <w:proofErr w:type="spellStart"/>
      <w:r>
        <w:t>Это</w:t>
      </w:r>
      <w:proofErr w:type="spellEnd"/>
      <w:r>
        <w:t xml:space="preserve"> </w:t>
      </w:r>
      <w:proofErr w:type="spellStart"/>
      <w:r>
        <w:t>точнее</w:t>
      </w:r>
      <w:proofErr w:type="spellEnd"/>
      <w:r>
        <w:t xml:space="preserve">, </w:t>
      </w:r>
      <w:proofErr w:type="spellStart"/>
      <w:r>
        <w:t>чем</w:t>
      </w:r>
      <w:proofErr w:type="spellEnd"/>
      <w:r>
        <w:t xml:space="preserve"> «</w:t>
      </w:r>
      <w:proofErr w:type="spellStart"/>
      <w:r>
        <w:t>инновационная</w:t>
      </w:r>
      <w:proofErr w:type="spellEnd"/>
      <w:r>
        <w:t xml:space="preserve"> система навсегда решает проблему организации».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3402"/>
        <w:gridCol w:w="3855"/>
      </w:tblGrid>
      <w:tr w:rsidR="0052114A" w:rsidRPr="00031F5D" w14:paraId="61558CF5" w14:textId="77777777">
        <w:trPr>
          <w:cantSplit/>
          <w:tblHeader/>
          <w:jc w:val="center"/>
        </w:trPr>
        <w:tc>
          <w:tcPr>
            <w:tcW w:w="2154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D41FEC3" w14:textId="77777777" w:rsidR="0052114A" w:rsidRDefault="00000000">
            <w:pPr>
              <w:pStyle w:val="TableText"/>
            </w:pPr>
            <w:r>
              <w:rPr>
                <w:rFonts w:eastAsia="Arial" w:cs="Arial"/>
                <w:b/>
                <w:color w:val="FFFFFF"/>
              </w:rPr>
              <w:t>Характеристика</w:t>
            </w:r>
          </w:p>
        </w:tc>
        <w:tc>
          <w:tcPr>
            <w:tcW w:w="3402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7D76CDF" w14:textId="77777777" w:rsidR="0052114A" w:rsidRDefault="00000000">
            <w:pPr>
              <w:pStyle w:val="TableText"/>
            </w:pPr>
            <w:r>
              <w:rPr>
                <w:rFonts w:eastAsia="Arial" w:cs="Arial"/>
                <w:b/>
                <w:color w:val="FFFFFF"/>
              </w:rPr>
              <w:t>Возможная выгода</w:t>
            </w:r>
          </w:p>
        </w:tc>
        <w:tc>
          <w:tcPr>
            <w:tcW w:w="3855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E788A11" w14:textId="77777777" w:rsidR="0052114A" w:rsidRPr="00031F5D" w:rsidRDefault="00000000">
            <w:pPr>
              <w:pStyle w:val="TableText"/>
              <w:rPr>
                <w:lang w:val="ru-RU"/>
              </w:rPr>
            </w:pPr>
            <w:r w:rsidRPr="00031F5D">
              <w:rPr>
                <w:rFonts w:eastAsia="Arial" w:cs="Arial"/>
                <w:b/>
                <w:color w:val="FFFFFF"/>
                <w:lang w:val="ru-RU"/>
              </w:rPr>
              <w:t>Что нельзя обещать без проверки</w:t>
            </w:r>
          </w:p>
        </w:tc>
      </w:tr>
      <w:tr w:rsidR="0052114A" w:rsidRPr="00031F5D" w14:paraId="18D97C52" w14:textId="77777777">
        <w:trPr>
          <w:cantSplit/>
          <w:jc w:val="center"/>
        </w:trPr>
        <w:tc>
          <w:tcPr>
            <w:tcW w:w="2154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A0D8A97" w14:textId="77777777" w:rsidR="0052114A" w:rsidRDefault="00000000">
            <w:pPr>
              <w:pStyle w:val="TableText"/>
            </w:pPr>
            <w:proofErr w:type="spellStart"/>
            <w:r>
              <w:rPr>
                <w:rFonts w:eastAsia="Arial" w:cs="Arial"/>
                <w:color w:val="243B48"/>
              </w:rPr>
              <w:t>Сменный</w:t>
            </w:r>
            <w:proofErr w:type="spellEnd"/>
            <w:r>
              <w:rPr>
                <w:rFonts w:eastAsia="Arial" w:cs="Arial"/>
                <w:color w:val="243B48"/>
              </w:rPr>
              <w:t xml:space="preserve"> </w:t>
            </w:r>
            <w:proofErr w:type="spellStart"/>
            <w:r>
              <w:rPr>
                <w:rFonts w:eastAsia="Arial" w:cs="Arial"/>
                <w:color w:val="243B48"/>
              </w:rPr>
              <w:t>блок</w:t>
            </w:r>
            <w:proofErr w:type="spellEnd"/>
          </w:p>
        </w:tc>
        <w:tc>
          <w:tcPr>
            <w:tcW w:w="3402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48A98CC" w14:textId="77777777" w:rsidR="0052114A" w:rsidRPr="00031F5D" w:rsidRDefault="00000000">
            <w:pPr>
              <w:pStyle w:val="TableText"/>
              <w:rPr>
                <w:lang w:val="ru-RU"/>
              </w:rPr>
            </w:pPr>
            <w:r w:rsidRPr="00031F5D">
              <w:rPr>
                <w:rFonts w:eastAsia="Arial" w:cs="Arial"/>
                <w:color w:val="243B48"/>
                <w:lang w:val="ru-RU"/>
              </w:rPr>
              <w:t>Не нужно заменять весь комплект</w:t>
            </w:r>
          </w:p>
        </w:tc>
        <w:tc>
          <w:tcPr>
            <w:tcW w:w="3855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414B110" w14:textId="77777777" w:rsidR="0052114A" w:rsidRPr="00031F5D" w:rsidRDefault="00000000">
            <w:pPr>
              <w:pStyle w:val="TableText"/>
              <w:rPr>
                <w:lang w:val="ru-RU"/>
              </w:rPr>
            </w:pPr>
            <w:r w:rsidRPr="00031F5D">
              <w:rPr>
                <w:rFonts w:eastAsia="Arial" w:cs="Arial"/>
                <w:color w:val="243B48"/>
                <w:lang w:val="ru-RU"/>
              </w:rPr>
              <w:t>Экономию при любом режиме использования</w:t>
            </w:r>
          </w:p>
        </w:tc>
      </w:tr>
      <w:tr w:rsidR="0052114A" w:rsidRPr="00031F5D" w14:paraId="5CEFED98" w14:textId="77777777">
        <w:trPr>
          <w:cantSplit/>
          <w:jc w:val="center"/>
        </w:trPr>
        <w:tc>
          <w:tcPr>
            <w:tcW w:w="2154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A831088" w14:textId="77777777" w:rsidR="0052114A" w:rsidRDefault="00000000">
            <w:pPr>
              <w:pStyle w:val="TableText"/>
            </w:pPr>
            <w:proofErr w:type="spellStart"/>
            <w:r>
              <w:rPr>
                <w:rFonts w:eastAsia="Arial" w:cs="Arial"/>
                <w:color w:val="243B48"/>
              </w:rPr>
              <w:t>Подробная</w:t>
            </w:r>
            <w:proofErr w:type="spellEnd"/>
            <w:r>
              <w:rPr>
                <w:rFonts w:eastAsia="Arial" w:cs="Arial"/>
                <w:color w:val="243B48"/>
              </w:rPr>
              <w:t xml:space="preserve"> </w:t>
            </w:r>
            <w:proofErr w:type="spellStart"/>
            <w:r>
              <w:rPr>
                <w:rFonts w:eastAsia="Arial" w:cs="Arial"/>
                <w:color w:val="243B48"/>
              </w:rPr>
              <w:t>инструкция</w:t>
            </w:r>
            <w:proofErr w:type="spellEnd"/>
          </w:p>
        </w:tc>
        <w:tc>
          <w:tcPr>
            <w:tcW w:w="3402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11E1AD5" w14:textId="77777777" w:rsidR="0052114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Проще освоить действие</w:t>
            </w:r>
          </w:p>
        </w:tc>
        <w:tc>
          <w:tcPr>
            <w:tcW w:w="3855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AF826A9" w14:textId="77777777" w:rsidR="0052114A" w:rsidRPr="00031F5D" w:rsidRDefault="00000000">
            <w:pPr>
              <w:pStyle w:val="TableText"/>
              <w:rPr>
                <w:lang w:val="ru-RU"/>
              </w:rPr>
            </w:pPr>
            <w:r w:rsidRPr="00031F5D">
              <w:rPr>
                <w:rFonts w:eastAsia="Arial" w:cs="Arial"/>
                <w:color w:val="243B48"/>
                <w:lang w:val="ru-RU"/>
              </w:rPr>
              <w:t>Отсутствие ошибок у каждого пользователя</w:t>
            </w:r>
          </w:p>
        </w:tc>
      </w:tr>
      <w:tr w:rsidR="0052114A" w:rsidRPr="00031F5D" w14:paraId="7D7F5164" w14:textId="77777777">
        <w:trPr>
          <w:cantSplit/>
          <w:jc w:val="center"/>
        </w:trPr>
        <w:tc>
          <w:tcPr>
            <w:tcW w:w="2154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B7AD601" w14:textId="77777777" w:rsidR="0052114A" w:rsidRDefault="00000000">
            <w:pPr>
              <w:pStyle w:val="TableText"/>
            </w:pPr>
            <w:proofErr w:type="spellStart"/>
            <w:r>
              <w:rPr>
                <w:rFonts w:eastAsia="Arial" w:cs="Arial"/>
                <w:color w:val="243B48"/>
              </w:rPr>
              <w:t>Несколько</w:t>
            </w:r>
            <w:proofErr w:type="spellEnd"/>
            <w:r>
              <w:rPr>
                <w:rFonts w:eastAsia="Arial" w:cs="Arial"/>
                <w:color w:val="243B48"/>
              </w:rPr>
              <w:t xml:space="preserve"> </w:t>
            </w:r>
            <w:proofErr w:type="spellStart"/>
            <w:r>
              <w:rPr>
                <w:rFonts w:eastAsia="Arial" w:cs="Arial"/>
                <w:color w:val="243B48"/>
              </w:rPr>
              <w:t>размеров</w:t>
            </w:r>
            <w:proofErr w:type="spellEnd"/>
          </w:p>
        </w:tc>
        <w:tc>
          <w:tcPr>
            <w:tcW w:w="3402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270D2E2" w14:textId="77777777" w:rsidR="0052114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Можно подобрать под задачу</w:t>
            </w:r>
          </w:p>
        </w:tc>
        <w:tc>
          <w:tcPr>
            <w:tcW w:w="3855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D56FEF2" w14:textId="77777777" w:rsidR="0052114A" w:rsidRPr="00031F5D" w:rsidRDefault="00000000">
            <w:pPr>
              <w:pStyle w:val="TableText"/>
              <w:rPr>
                <w:lang w:val="ru-RU"/>
              </w:rPr>
            </w:pPr>
            <w:r w:rsidRPr="00031F5D">
              <w:rPr>
                <w:rFonts w:eastAsia="Arial" w:cs="Arial"/>
                <w:color w:val="243B48"/>
                <w:lang w:val="ru-RU"/>
              </w:rPr>
              <w:t>Подходящий вариант для всех ситуаций</w:t>
            </w:r>
          </w:p>
        </w:tc>
      </w:tr>
      <w:tr w:rsidR="0052114A" w14:paraId="5D6FB2C0" w14:textId="77777777">
        <w:trPr>
          <w:cantSplit/>
          <w:jc w:val="center"/>
        </w:trPr>
        <w:tc>
          <w:tcPr>
            <w:tcW w:w="2154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8627479" w14:textId="77777777" w:rsidR="0052114A" w:rsidRDefault="00000000">
            <w:pPr>
              <w:pStyle w:val="TableText"/>
            </w:pPr>
            <w:proofErr w:type="spellStart"/>
            <w:r>
              <w:rPr>
                <w:rFonts w:eastAsia="Arial" w:cs="Arial"/>
                <w:color w:val="243B48"/>
              </w:rPr>
              <w:t>Сервис</w:t>
            </w:r>
            <w:proofErr w:type="spellEnd"/>
            <w:r>
              <w:rPr>
                <w:rFonts w:eastAsia="Arial" w:cs="Arial"/>
                <w:color w:val="243B48"/>
              </w:rPr>
              <w:t xml:space="preserve"> </w:t>
            </w:r>
            <w:proofErr w:type="spellStart"/>
            <w:r>
              <w:rPr>
                <w:rFonts w:eastAsia="Arial" w:cs="Arial"/>
                <w:color w:val="243B48"/>
              </w:rPr>
              <w:t>поддержки</w:t>
            </w:r>
            <w:proofErr w:type="spellEnd"/>
          </w:p>
        </w:tc>
        <w:tc>
          <w:tcPr>
            <w:tcW w:w="3402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41B0546" w14:textId="77777777" w:rsidR="0052114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Есть способ получить помощь</w:t>
            </w:r>
          </w:p>
        </w:tc>
        <w:tc>
          <w:tcPr>
            <w:tcW w:w="3855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BA6148F" w14:textId="77777777" w:rsidR="0052114A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Мгновенное решение любого вопроса</w:t>
            </w:r>
          </w:p>
        </w:tc>
      </w:tr>
    </w:tbl>
    <w:p w14:paraId="212952E2" w14:textId="77777777" w:rsidR="0052114A" w:rsidRDefault="0052114A">
      <w:pPr>
        <w:spacing w:after="0"/>
      </w:pPr>
    </w:p>
    <w:p w14:paraId="495D677E" w14:textId="77777777" w:rsidR="0052114A" w:rsidRDefault="00000000">
      <w:pPr>
        <w:pStyle w:val="21"/>
      </w:pPr>
      <w:r>
        <w:t>Ограничения как часть ценности</w:t>
      </w:r>
    </w:p>
    <w:p w14:paraId="1F5819E1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Четкое ограничение не обязательно ослабляет предложение. Оно помогает человеку не приобрести неподходящий вариант и повышает качество соответствия. Например, указание совместимости снижает неопределенность. Скрытое ограничение может увеличить первую продажу, но привести к возврату и разочарованию.</w:t>
      </w:r>
    </w:p>
    <w:p w14:paraId="11E57CB2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Для учебного проекта достаточно одного центрального преимущества и нескольких подтверждений. Перечень из десяти равнозначных обещаний затрудняет понимание приоритета. Нужно определить, какая задача основная и какие характеристики действительно обеспечивают результат.</w:t>
      </w:r>
    </w:p>
    <w:p w14:paraId="2BED75BB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Проверка проводится через сценарий: может ли участник объяснить полезность, найти подтверждение и назвать границу применения? Если он запомнил только слова «современный» и «уникальный», предложение может оставаться неопределенным. Доработка должна прояснять содержание, а не усиливать эпитеты.</w:t>
      </w:r>
    </w:p>
    <w:p w14:paraId="4FCA6232" w14:textId="77777777" w:rsidR="0052114A" w:rsidRPr="00031F5D" w:rsidRDefault="00000000">
      <w:pPr>
        <w:pStyle w:val="1"/>
        <w:pageBreakBefore/>
        <w:rPr>
          <w:lang w:val="ru-RU"/>
        </w:rPr>
      </w:pPr>
      <w:r w:rsidRPr="00031F5D">
        <w:rPr>
          <w:lang w:val="ru-RU"/>
        </w:rPr>
        <w:lastRenderedPageBreak/>
        <w:t>3. Бренд, ожидания и согласованность опыта</w:t>
      </w:r>
    </w:p>
    <w:p w14:paraId="2225FB25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Бренд помогает идентифицировать предложение и связывать его с определенными ассоциациями и ожиданиями. Для потребителя знакомое обозначение может сокращать поиск, но узнаваемость не равна доверию или предпочтению. Человек способен хорошо знать бренд и считать его неподходящим для собственной задачи.</w:t>
      </w:r>
    </w:p>
    <w:p w14:paraId="26209242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В учебном анализе полезно различать идентичность, которую компания стремится выразить, воспринимаемый образ и накопленный опыт. Эти уровни могут расходиться. Заявление «мы удобные» — намерение компании; способность клиента выполнить действие без затруднений — отдельный проверяемый результат.</w:t>
      </w:r>
    </w:p>
    <w:p w14:paraId="4A97C352" w14:textId="77777777" w:rsidR="0052114A" w:rsidRPr="00031F5D" w:rsidRDefault="00000000">
      <w:pPr>
        <w:pStyle w:val="21"/>
        <w:rPr>
          <w:lang w:val="ru-RU"/>
        </w:rPr>
      </w:pPr>
      <w:r w:rsidRPr="00031F5D">
        <w:rPr>
          <w:lang w:val="ru-RU"/>
        </w:rPr>
        <w:t>Обещание и подтверждение</w:t>
      </w:r>
    </w:p>
    <w:p w14:paraId="3B2CF65C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Брендовая коммуникация должна связывать смысл с повторяемыми действиями. Если центральное обещание — предсказуемость, его поддерживают ясные сроки, актуальное наличие и понятная обратная связь. Один визуальный стиль не компенсирует нестабильное исполнение. Поэтому управление брендом требует координации продукта, обслуживания и коммуникаций.</w:t>
      </w:r>
    </w:p>
    <w:p w14:paraId="46F3EB88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Ассоциации могут относиться к функции, ситуации использования, эмоциональному опыту или социальной роли. Для проекта важно выбрать те, которые соответствуют реальному предложению. Нельзя пытаться одновременно занять все возможные позиции: «самый доступный», «исключительно индивидуальный» и «мгновенно доступный» могут потребовать конфликтующих процессов и ресурсов.</w:t>
      </w:r>
    </w:p>
    <w:p w14:paraId="169F9E85" w14:textId="77777777" w:rsidR="0052114A" w:rsidRPr="00031F5D" w:rsidRDefault="00000000">
      <w:pPr>
        <w:pStyle w:val="21"/>
        <w:rPr>
          <w:lang w:val="ru-RU"/>
        </w:rPr>
      </w:pPr>
      <w:r w:rsidRPr="00031F5D">
        <w:rPr>
          <w:lang w:val="ru-RU"/>
        </w:rPr>
        <w:t>Как исследовать роль бренда</w:t>
      </w:r>
    </w:p>
    <w:p w14:paraId="04910D31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Можно спросить, какие категории и задачи человек связывает с обозначением, какие подтверждения помнит и какие сомнения испытывает. Дополнительно полезно сравнить понимание предложения с названием и без него, соблюдая одинаковые условия. Но результат малого учебного теста не оценивает автоматически стоимость бренда или долю рынка.</w:t>
      </w:r>
    </w:p>
    <w:p w14:paraId="4BB3BF1B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Если знакомый бренд выбирают чаще, возможны разные объяснения: доверие к прошлому опыту, лучшая доступность, привычка или недостаток информации об альтернативе. Для выбора действия важно выяснить, какой механизм значим. Иначе компания может инвестировать только в узнаваемость, когда проблема касается доказательств или исполнения.</w:t>
      </w:r>
    </w:p>
    <w:p w14:paraId="49B75263" w14:textId="77777777" w:rsidR="0052114A" w:rsidRPr="00031F5D" w:rsidRDefault="00000000">
      <w:pPr>
        <w:pStyle w:val="21"/>
        <w:rPr>
          <w:lang w:val="ru-RU"/>
        </w:rPr>
      </w:pPr>
      <w:r w:rsidRPr="00031F5D">
        <w:rPr>
          <w:lang w:val="ru-RU"/>
        </w:rPr>
        <w:t>Согласованность не означает неизменность</w:t>
      </w:r>
    </w:p>
    <w:p w14:paraId="18E0892B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Предложение может развиваться, но изменения должны быть понятными. Новый состав, цена, формат или ограничение нельзя скрывать за знакомым оформлением. Последовательность бренда проявляется в ясной логике и выполнении обязательств, а не в сохранении старого сообщения при изменившейся реальности.</w:t>
      </w:r>
    </w:p>
    <w:p w14:paraId="78FAEAFE" w14:textId="77777777" w:rsidR="0052114A" w:rsidRPr="00031F5D" w:rsidRDefault="00000000">
      <w:pPr>
        <w:pStyle w:val="1"/>
        <w:pageBreakBefore/>
        <w:rPr>
          <w:lang w:val="ru-RU"/>
        </w:rPr>
      </w:pPr>
      <w:r w:rsidRPr="00031F5D">
        <w:rPr>
          <w:lang w:val="ru-RU"/>
        </w:rPr>
        <w:lastRenderedPageBreak/>
        <w:t>4. Ассортимент и принятие нового предложения</w:t>
      </w:r>
    </w:p>
    <w:p w14:paraId="4D161134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Ассортимент организует выбор между вариантами. Ширина относится к разнообразию категорий или линий, глубина — к числу вариантов внутри них. Для потребителя важна не только численность, но и различимость: какие задачи решает каждый вариант, что обязательно и за что предлагается доплата. Непонятные названия могут затруднять сравнение даже небольшого набора.</w:t>
      </w:r>
    </w:p>
    <w:p w14:paraId="629EC657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Исследования перегрузки выбором не поддерживают универсальное правило, что любое сокращение вариантов увеличивает покупки [3]. Поэтому перед изменением ассортимента проверяют, что именно мешает: отсутствие подходящего варианта, дублирование, сложность параметров или навигация. Иногда достаточно лучше организовать существующее предложение.</w:t>
      </w:r>
    </w:p>
    <w:p w14:paraId="002BD844" w14:textId="77777777" w:rsidR="0052114A" w:rsidRPr="00031F5D" w:rsidRDefault="00000000">
      <w:pPr>
        <w:pStyle w:val="21"/>
        <w:rPr>
          <w:lang w:val="ru-RU"/>
        </w:rPr>
      </w:pPr>
      <w:r w:rsidRPr="00031F5D">
        <w:rPr>
          <w:lang w:val="ru-RU"/>
        </w:rPr>
        <w:t>Новизна и барьеры освоения</w:t>
      </w:r>
    </w:p>
    <w:p w14:paraId="2D146852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В учебных моделях принятия инноваций рассматриваются знакомство, интерес, оценка, проба и использование, а также относительное преимущество, совместимость с привычным опытом, сложность и возможность опробования [2]. Эти направления помогают поставить вопросы, но не задают обязательную линейную траекторию или фиксированные доли типов потребителей.</w:t>
      </w:r>
    </w:p>
    <w:p w14:paraId="02F2CD70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Новое для компании не обязательно ново для покупателя, и наоборот. Даже технически простое изменение может требовать новой привычки. Например, сменный формат расходного материала вызывает вопросы о хранении, покупке замены и совместимости. Преимущество должно превышать не только цену, но и затраты перехода.</w:t>
      </w:r>
    </w:p>
    <w:p w14:paraId="37BFF3AA" w14:textId="77777777" w:rsidR="0052114A" w:rsidRPr="00031F5D" w:rsidRDefault="00000000">
      <w:pPr>
        <w:pStyle w:val="21"/>
        <w:rPr>
          <w:lang w:val="ru-RU"/>
        </w:rPr>
      </w:pPr>
      <w:r w:rsidRPr="00031F5D">
        <w:rPr>
          <w:lang w:val="ru-RU"/>
        </w:rPr>
        <w:t>Проба как снижение неопределенности</w:t>
      </w:r>
    </w:p>
    <w:p w14:paraId="59F3A084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Демонстрация, ограниченный пилот или понятный пример способны помочь оценить предложение. Но условия пробы должны быть ясными: что предоставляется, на какой срок, что происходит после завершения и можно ли отказаться. Проба не должна незаметно создавать долгосрочное обязательство.</w:t>
      </w:r>
    </w:p>
    <w:p w14:paraId="7261DE0A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Для компании важно различать интерес, пробное приобретение и устойчивое использование. Большое число первых заказов не доказывает принятия новинки. Нужно проверить, смогли ли люди освоить действие, получили ли ожидаемый результат и захотели ли продолжить при обычных условиях.</w:t>
      </w:r>
    </w:p>
    <w:p w14:paraId="2F9009AA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Практический вывод — планировать не только запуск, но и переход к использованию. Инструкция, доступность дополнений и поддержка могут быть важнее дополнительного рекламного охвата. Если продукт требует изменения привычек, стратегия должна учитывать соответствующие усилия, а не объяснять слабое принятие «консерватизмом аудитории».</w:t>
      </w:r>
    </w:p>
    <w:p w14:paraId="43CF851E" w14:textId="77777777" w:rsidR="0052114A" w:rsidRPr="00031F5D" w:rsidRDefault="00000000">
      <w:pPr>
        <w:pStyle w:val="1"/>
        <w:pageBreakBefore/>
        <w:rPr>
          <w:lang w:val="ru-RU"/>
        </w:rPr>
      </w:pPr>
      <w:r w:rsidRPr="00031F5D">
        <w:rPr>
          <w:lang w:val="ru-RU"/>
        </w:rPr>
        <w:lastRenderedPageBreak/>
        <w:t>5. Проверка ценностного предложения</w:t>
      </w:r>
    </w:p>
    <w:p w14:paraId="0B3298E2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Проверка начинается с конкретной группы и ситуации. Слишком общий вопрос «нравится ли вам идея?» дает мало информации о будущем использовании. Лучше предложить сценарий и выяснить, какую задачу человек решает сейчас, какие альтернативы использует и какие условия сделали бы новое предложение подходящим.</w:t>
      </w:r>
    </w:p>
    <w:p w14:paraId="2F1FC66F" w14:textId="77777777" w:rsidR="0052114A" w:rsidRPr="00031F5D" w:rsidRDefault="00000000">
      <w:pPr>
        <w:pStyle w:val="21"/>
        <w:rPr>
          <w:lang w:val="ru-RU"/>
        </w:rPr>
      </w:pPr>
      <w:r w:rsidRPr="00031F5D">
        <w:rPr>
          <w:lang w:val="ru-RU"/>
        </w:rPr>
        <w:t>Концепт-тест</w:t>
      </w:r>
    </w:p>
    <w:p w14:paraId="710C49DE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В концепте описывают результат, устройство, цену или условия доступа, доказательства и ограничения. Разные варианты должны быть сопоставимы по объему информации. Если один показан красивым макетом, а другой — неясным текстом, различие реакции может отражать оформление, а не ценность.</w:t>
      </w:r>
    </w:p>
    <w:p w14:paraId="7F7AB6AA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Измеряют понимание, релевантность задаче, сомнения и предполагаемые компромиссы. Намерение купить можно использовать как один из сигналов, но не как гарантированный спрос. Важно спросить, от чего человек откажется и в какой реальной ситуации предложение заменит существующий способ действия.</w:t>
      </w:r>
    </w:p>
    <w:p w14:paraId="21BEA30D" w14:textId="77777777" w:rsidR="0052114A" w:rsidRPr="00031F5D" w:rsidRDefault="00000000">
      <w:pPr>
        <w:pStyle w:val="21"/>
        <w:rPr>
          <w:lang w:val="ru-RU"/>
        </w:rPr>
      </w:pPr>
      <w:r w:rsidRPr="00031F5D">
        <w:rPr>
          <w:lang w:val="ru-RU"/>
        </w:rPr>
        <w:t>Прототип и использование</w:t>
      </w:r>
    </w:p>
    <w:p w14:paraId="2981F6FA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Прототип помогает проверить действие: собрать, настроить, найти информацию или выполнить услугу. Он не обязан быть полностью готовым продуктом, но ограничения должны быть раскрыты. Нельзя выдавать демонстрационный результат за подтвержденную характеристику массового производства.</w:t>
      </w:r>
    </w:p>
    <w:p w14:paraId="79EC92B5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Проверка использования включает успешность, ошибки, усилия и соответствие ожиданиям. Если человек не понимает, как начать, требуется доработка процесса. Если выполняет действие, но не видит пользы, проблема может находиться в самом предложении или выбранном сценарии.</w:t>
      </w:r>
    </w:p>
    <w:p w14:paraId="03C52B4F" w14:textId="77777777" w:rsidR="0052114A" w:rsidRPr="00031F5D" w:rsidRDefault="00000000">
      <w:pPr>
        <w:pStyle w:val="21"/>
        <w:rPr>
          <w:lang w:val="ru-RU"/>
        </w:rPr>
      </w:pPr>
      <w:r w:rsidRPr="00031F5D">
        <w:rPr>
          <w:lang w:val="ru-RU"/>
        </w:rPr>
        <w:t>Критерии решения</w:t>
      </w:r>
    </w:p>
    <w:p w14:paraId="3E1B2B6C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Заранее определяют условия продолжения, изменения и отказа от идеи. Например: участники понимают основную выгоду; обязательные действия выполнимы; нет существенных ошибочных ожиданий; экономические условия реалистичны. Не следует после теста заменять неудавшийся критерий другим, более удобным.</w:t>
      </w:r>
    </w:p>
    <w:p w14:paraId="335DB124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Полезно фиксировать журнал гипотез: что предполагали, что наблюдали, что изменили и что осталось неизвестным. Такой документ показывает развитие решения и защищает от истории, в которой любые данные объявляются подтверждением первоначального замысла.</w:t>
      </w:r>
    </w:p>
    <w:p w14:paraId="2C6182ED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Ценностное предложение считается обоснованным не тогда, когда оно звучит убедительно, а когда понятны его адресат, результат, доказательства и ограничения. Следующий шаг — проверка реального использования в условиях, соответствующих будущей работе, без обещаний универсального успеха.</w:t>
      </w:r>
    </w:p>
    <w:p w14:paraId="33E89790" w14:textId="77777777" w:rsidR="0052114A" w:rsidRPr="00031F5D" w:rsidRDefault="00000000">
      <w:pPr>
        <w:pStyle w:val="1"/>
        <w:pageBreakBefore/>
        <w:rPr>
          <w:lang w:val="ru-RU"/>
        </w:rPr>
      </w:pPr>
      <w:r w:rsidRPr="00031F5D">
        <w:rPr>
          <w:lang w:val="ru-RU"/>
        </w:rPr>
        <w:lastRenderedPageBreak/>
        <w:t>6. Разобранный кейс: модульный ежедневник</w:t>
      </w:r>
    </w:p>
    <w:p w14:paraId="7D0B4481" w14:textId="77777777" w:rsidR="0052114A" w:rsidRPr="00031F5D" w:rsidRDefault="00000000">
      <w:pPr>
        <w:pStyle w:val="Small"/>
        <w:rPr>
          <w:lang w:val="ru-RU"/>
        </w:rPr>
      </w:pPr>
      <w:r w:rsidRPr="00031F5D">
        <w:rPr>
          <w:lang w:val="ru-RU"/>
        </w:rPr>
        <w:t>Все сведения кейса вымышлены.</w:t>
      </w:r>
    </w:p>
    <w:p w14:paraId="344FF6DC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 xml:space="preserve">Компания «Лист» предлагает ежедневник со сменными блоками. Стандартный комплект стоит 3 000 </w:t>
      </w:r>
      <w:proofErr w:type="spellStart"/>
      <w:r w:rsidRPr="00031F5D">
        <w:rPr>
          <w:lang w:val="ru-RU"/>
        </w:rPr>
        <w:t>тг</w:t>
      </w:r>
      <w:proofErr w:type="spellEnd"/>
      <w:r w:rsidRPr="00031F5D">
        <w:rPr>
          <w:lang w:val="ru-RU"/>
        </w:rPr>
        <w:t xml:space="preserve">, сменный блок — 800 </w:t>
      </w:r>
      <w:proofErr w:type="spellStart"/>
      <w:r w:rsidRPr="00031F5D">
        <w:rPr>
          <w:lang w:val="ru-RU"/>
        </w:rPr>
        <w:t>тг</w:t>
      </w:r>
      <w:proofErr w:type="spellEnd"/>
      <w:r w:rsidRPr="00031F5D">
        <w:rPr>
          <w:lang w:val="ru-RU"/>
        </w:rPr>
        <w:t xml:space="preserve">. Обычный несменный ежедневник стоит 1 800 </w:t>
      </w:r>
      <w:proofErr w:type="spellStart"/>
      <w:r w:rsidRPr="00031F5D">
        <w:rPr>
          <w:lang w:val="ru-RU"/>
        </w:rPr>
        <w:t>тг</w:t>
      </w:r>
      <w:proofErr w:type="spellEnd"/>
      <w:r w:rsidRPr="00031F5D">
        <w:rPr>
          <w:lang w:val="ru-RU"/>
        </w:rPr>
        <w:t>. Команда рекламирует новинку как «экономию для каждого», но не уточняет, сколько блоков человек использует и как долго служит обложка.</w:t>
      </w:r>
    </w:p>
    <w:p w14:paraId="7ABE2245" w14:textId="77777777" w:rsidR="0052114A" w:rsidRPr="00031F5D" w:rsidRDefault="00000000">
      <w:pPr>
        <w:pStyle w:val="21"/>
        <w:rPr>
          <w:lang w:val="ru-RU"/>
        </w:rPr>
      </w:pPr>
      <w:r w:rsidRPr="00031F5D">
        <w:rPr>
          <w:lang w:val="ru-RU"/>
        </w:rPr>
        <w:t>Проверка обещания</w:t>
      </w:r>
    </w:p>
    <w:p w14:paraId="6B35B4CA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 xml:space="preserve">При первом приобретении новинка дороже на 1 200 </w:t>
      </w:r>
      <w:proofErr w:type="spellStart"/>
      <w:r w:rsidRPr="00031F5D">
        <w:rPr>
          <w:lang w:val="ru-RU"/>
        </w:rPr>
        <w:t>тг</w:t>
      </w:r>
      <w:proofErr w:type="spellEnd"/>
      <w:r w:rsidRPr="00031F5D">
        <w:rPr>
          <w:lang w:val="ru-RU"/>
        </w:rPr>
        <w:t xml:space="preserve">. Если пользователь приобретает еще два блока и сохраняет обложку, общие расходы составят 3 000 + 2 × 800 = 4 600 </w:t>
      </w:r>
      <w:proofErr w:type="spellStart"/>
      <w:r w:rsidRPr="00031F5D">
        <w:rPr>
          <w:lang w:val="ru-RU"/>
        </w:rPr>
        <w:t>тг</w:t>
      </w:r>
      <w:proofErr w:type="spellEnd"/>
      <w:r w:rsidRPr="00031F5D">
        <w:rPr>
          <w:lang w:val="ru-RU"/>
        </w:rPr>
        <w:t xml:space="preserve">. Три обычных ежедневника обойдутся в 5 400 </w:t>
      </w:r>
      <w:proofErr w:type="spellStart"/>
      <w:r w:rsidRPr="00031F5D">
        <w:rPr>
          <w:lang w:val="ru-RU"/>
        </w:rPr>
        <w:t>тг</w:t>
      </w:r>
      <w:proofErr w:type="spellEnd"/>
      <w:r w:rsidRPr="00031F5D">
        <w:rPr>
          <w:lang w:val="ru-RU"/>
        </w:rPr>
        <w:t xml:space="preserve">. Разница — 800 </w:t>
      </w:r>
      <w:proofErr w:type="spellStart"/>
      <w:r w:rsidRPr="00031F5D">
        <w:rPr>
          <w:lang w:val="ru-RU"/>
        </w:rPr>
        <w:t>тг</w:t>
      </w:r>
      <w:proofErr w:type="spellEnd"/>
      <w:r w:rsidRPr="00031F5D">
        <w:rPr>
          <w:lang w:val="ru-RU"/>
        </w:rPr>
        <w:t xml:space="preserve"> при данных условных ценах и одинаковой полезности блоков. Но это не универсальная экономия: она зависит от числа замен, доставки, долговечности и сопоставимости объема.</w:t>
      </w:r>
    </w:p>
    <w:p w14:paraId="06658FD0" w14:textId="77777777" w:rsidR="0052114A" w:rsidRPr="00031F5D" w:rsidRDefault="00000000">
      <w:pPr>
        <w:pStyle w:val="21"/>
        <w:rPr>
          <w:lang w:val="ru-RU"/>
        </w:rPr>
      </w:pPr>
      <w:r w:rsidRPr="00031F5D">
        <w:rPr>
          <w:lang w:val="ru-RU"/>
        </w:rPr>
        <w:t>Потребительские барьеры</w:t>
      </w:r>
    </w:p>
    <w:p w14:paraId="014ADDBB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В учебных беседах участники спрашивают о совместимости крепления, доступности блоков и удобстве переноса записей. Эти вопросы показывают, что новизна создает дополнительные задачи. Одного сообщения о цене недостаточно, а экологическое преимущество нельзя объявлять доказанным без отдельного анализа.</w:t>
      </w:r>
    </w:p>
    <w:p w14:paraId="30290722" w14:textId="77777777" w:rsidR="0052114A" w:rsidRPr="00031F5D" w:rsidRDefault="00000000">
      <w:pPr>
        <w:pStyle w:val="21"/>
        <w:rPr>
          <w:lang w:val="ru-RU"/>
        </w:rPr>
      </w:pPr>
      <w:r w:rsidRPr="00031F5D">
        <w:rPr>
          <w:lang w:val="ru-RU"/>
        </w:rPr>
        <w:t>Доработка предложения</w:t>
      </w:r>
    </w:p>
    <w:p w14:paraId="31035FAC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Команда заменяет общий лозунг на конкретное описание: можно сохранять обложку и менять совместимые блоки; указаны цены, размеры и условия приобретения. Демонстрация показывает замену. Расчет экономии представлен как сценарий с явными допущениями, а не обещание для каждого покупателя.</w:t>
      </w:r>
    </w:p>
    <w:p w14:paraId="697A10ED" w14:textId="77777777" w:rsidR="0052114A" w:rsidRPr="00031F5D" w:rsidRDefault="00000000">
      <w:pPr>
        <w:pStyle w:val="21"/>
        <w:rPr>
          <w:lang w:val="ru-RU"/>
        </w:rPr>
      </w:pPr>
      <w:r w:rsidRPr="00031F5D">
        <w:rPr>
          <w:lang w:val="ru-RU"/>
        </w:rPr>
        <w:t>Проверка</w:t>
      </w:r>
    </w:p>
    <w:p w14:paraId="0AE84894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Десять добровольцев выполняют замену на прототипе: восемь справляются самостоятельно, двоим требуется подсказка. После теста уточняется инструкция. Затем планируется наблюдение за использованием, потому что успешная первая замена не доказывает долговечность и устойчивое принятие.</w:t>
      </w:r>
    </w:p>
    <w:p w14:paraId="0C3503ED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Кейс показывает, как характеристика превращается в ценность только при определенных условиях. Компания должна проверить не только привлекательность новинки, но и доступность всей системы использования. Более точное обещание может быть менее громким, зато лучше связывает ожидания с реальным результатом.</w:t>
      </w:r>
    </w:p>
    <w:p w14:paraId="68E44A60" w14:textId="77777777" w:rsidR="0052114A" w:rsidRPr="00031F5D" w:rsidRDefault="00000000">
      <w:pPr>
        <w:pStyle w:val="1"/>
        <w:pageBreakBefore/>
        <w:rPr>
          <w:lang w:val="ru-RU"/>
        </w:rPr>
      </w:pPr>
      <w:r w:rsidRPr="00031F5D">
        <w:rPr>
          <w:lang w:val="ru-RU"/>
        </w:rPr>
        <w:lastRenderedPageBreak/>
        <w:t>7. Самопроверка и самостоятельная работа</w:t>
      </w:r>
    </w:p>
    <w:p w14:paraId="19063652" w14:textId="77777777" w:rsidR="0052114A" w:rsidRPr="00031F5D" w:rsidRDefault="00000000">
      <w:pPr>
        <w:pStyle w:val="Question"/>
        <w:rPr>
          <w:lang w:val="ru-RU"/>
        </w:rPr>
      </w:pPr>
      <w:r w:rsidRPr="00031F5D">
        <w:rPr>
          <w:lang w:val="ru-RU"/>
        </w:rPr>
        <w:t>1. Почему больше функций не всегда означает большую ценность?</w:t>
      </w:r>
    </w:p>
    <w:p w14:paraId="1E5E9B6B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Ориентир: функции могут быть не нужны, увеличивать цену, сложность и затраты освоения. Ценность определяется задачей и совокупными условиями, а не количеством возможностей.</w:t>
      </w:r>
    </w:p>
    <w:p w14:paraId="2E7D111E" w14:textId="77777777" w:rsidR="0052114A" w:rsidRPr="00031F5D" w:rsidRDefault="00000000">
      <w:pPr>
        <w:pStyle w:val="Question"/>
        <w:rPr>
          <w:lang w:val="ru-RU"/>
        </w:rPr>
      </w:pPr>
      <w:r w:rsidRPr="00031F5D">
        <w:rPr>
          <w:lang w:val="ru-RU"/>
        </w:rPr>
        <w:t>2. Чем преимущество отличается от характеристики?</w:t>
      </w:r>
    </w:p>
    <w:p w14:paraId="0F067D0D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Ориентир: характеристика описывает свойство, преимущество — его полезность в ситуации. Для подтверждения нужны данные или демонстрация и ясные границы применения.</w:t>
      </w:r>
    </w:p>
    <w:p w14:paraId="06F80456" w14:textId="77777777" w:rsidR="0052114A" w:rsidRPr="00031F5D" w:rsidRDefault="00000000">
      <w:pPr>
        <w:pStyle w:val="Question"/>
        <w:rPr>
          <w:lang w:val="ru-RU"/>
        </w:rPr>
      </w:pPr>
      <w:r w:rsidRPr="00031F5D">
        <w:rPr>
          <w:lang w:val="ru-RU"/>
        </w:rPr>
        <w:t>3. Доказывает ли узнаваемость бренда доверие?</w:t>
      </w:r>
    </w:p>
    <w:p w14:paraId="73CB1BF3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Ориентир: нет. Знание имени, отношение и опыт различаются. Нужно отдельно исследовать ассоциации, основания доверия и соответствие предложения задаче.</w:t>
      </w:r>
    </w:p>
    <w:p w14:paraId="51FC28C5" w14:textId="77777777" w:rsidR="0052114A" w:rsidRPr="00031F5D" w:rsidRDefault="00000000">
      <w:pPr>
        <w:pStyle w:val="Question"/>
        <w:rPr>
          <w:lang w:val="ru-RU"/>
        </w:rPr>
      </w:pPr>
      <w:r w:rsidRPr="00031F5D">
        <w:rPr>
          <w:lang w:val="ru-RU"/>
        </w:rPr>
        <w:t>4. Почему пробная покупка не равна принятию инновации?</w:t>
      </w:r>
    </w:p>
    <w:p w14:paraId="51B4F232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Ориентир: после пробы возможны трудности освоения, отсутствие пользы или отказ при обычной цене. Нужна проверка использования и продолжения отношений.</w:t>
      </w:r>
    </w:p>
    <w:p w14:paraId="25BC3FD5" w14:textId="77777777" w:rsidR="0052114A" w:rsidRPr="00031F5D" w:rsidRDefault="00000000">
      <w:pPr>
        <w:pStyle w:val="Question"/>
        <w:rPr>
          <w:lang w:val="ru-RU"/>
        </w:rPr>
      </w:pPr>
      <w:r w:rsidRPr="00031F5D">
        <w:rPr>
          <w:lang w:val="ru-RU"/>
        </w:rPr>
        <w:t>5. Как корректно заявлять экономию?</w:t>
      </w:r>
    </w:p>
    <w:p w14:paraId="41E995C9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Ориентир: указать базу сравнения, период, состав расходов и допущения. Нельзя переносить результат одного сценария на всех пользователей.</w:t>
      </w:r>
    </w:p>
    <w:p w14:paraId="39241DD5" w14:textId="77777777" w:rsidR="0052114A" w:rsidRPr="00031F5D" w:rsidRDefault="00000000">
      <w:pPr>
        <w:pStyle w:val="21"/>
        <w:rPr>
          <w:lang w:val="ru-RU"/>
        </w:rPr>
      </w:pPr>
      <w:r w:rsidRPr="00031F5D">
        <w:rPr>
          <w:lang w:val="ru-RU"/>
        </w:rPr>
        <w:t>Самостоятельное задание</w:t>
      </w:r>
    </w:p>
    <w:p w14:paraId="399937BD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Разработайте ценностное предложение вымышленного продукта со сменным элементом или нового бытового сервиса. Укажите задачу, три характеристики, соответствующие выгоды, доказательства и ограничения. Добавьте два барьера принятия и способ их проверки. Подготовьте краткий концепт для тестирования без неподтвержденных превосходных степеней.</w:t>
      </w:r>
    </w:p>
    <w:p w14:paraId="45FC32D0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Объем — 700–900 слов. Реальные испытания не требуются. Все технические и числовые параметры обозначьте как учебные допущения.</w:t>
      </w:r>
    </w:p>
    <w:p w14:paraId="773637A4" w14:textId="77777777" w:rsidR="0052114A" w:rsidRPr="00031F5D" w:rsidRDefault="00000000">
      <w:pPr>
        <w:pStyle w:val="21"/>
        <w:rPr>
          <w:lang w:val="ru-RU"/>
        </w:rPr>
      </w:pPr>
      <w:r w:rsidRPr="00031F5D">
        <w:rPr>
          <w:lang w:val="ru-RU"/>
        </w:rPr>
        <w:t>Критерии качества</w:t>
      </w:r>
    </w:p>
    <w:p w14:paraId="760185DC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Связь задачи и ценности — 30%; цепочка доказательств — 25%; анализ освоения — 25%; корректность обещаний и проверки — 20%.</w:t>
      </w:r>
    </w:p>
    <w:p w14:paraId="33794FB8" w14:textId="77777777" w:rsidR="0052114A" w:rsidRPr="00031F5D" w:rsidRDefault="00000000">
      <w:pPr>
        <w:pStyle w:val="1"/>
        <w:pageBreakBefore/>
        <w:rPr>
          <w:lang w:val="ru-RU"/>
        </w:rPr>
      </w:pPr>
      <w:r w:rsidRPr="00031F5D">
        <w:rPr>
          <w:lang w:val="ru-RU"/>
        </w:rPr>
        <w:lastRenderedPageBreak/>
        <w:t>8. Итоги и опорные понятия</w:t>
      </w:r>
    </w:p>
    <w:p w14:paraId="4FF416FE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Ценность возникает из соответствия результата и совокупных затрат конкретной ситуации. Продукт, обслуживание и бренд должны поддерживать одно проверяемое обещание. Новизна добавляет не только возможности, но и усилия перехода, поэтому стратегия включает понятное объяснение, пробу и поддержку использования.</w:t>
      </w:r>
    </w:p>
    <w:p w14:paraId="6222DD3F" w14:textId="77777777" w:rsidR="0052114A" w:rsidRPr="00031F5D" w:rsidRDefault="00000000">
      <w:pPr>
        <w:rPr>
          <w:lang w:val="ru-RU"/>
        </w:rPr>
      </w:pPr>
      <w:r w:rsidRPr="00031F5D">
        <w:rPr>
          <w:lang w:val="ru-RU"/>
        </w:rPr>
        <w:t>Сильное предложение не скрывает ограничений. Оно помогает человеку определить, подходит ли ему продукт и при каких условиях. Проверка должна различать привлекательность идеи, правильность понимания, пробу и устойчивое использование. Эти результаты связаны, но не заменяют друг друга.</w:t>
      </w:r>
    </w:p>
    <w:p w14:paraId="6E8EA4F5" w14:textId="77777777" w:rsidR="0052114A" w:rsidRPr="00031F5D" w:rsidRDefault="00000000">
      <w:pPr>
        <w:pStyle w:val="21"/>
        <w:rPr>
          <w:lang w:val="ru-RU"/>
        </w:rPr>
      </w:pPr>
      <w:r w:rsidRPr="00031F5D">
        <w:rPr>
          <w:lang w:val="ru-RU"/>
        </w:rPr>
        <w:t>Мини-глоссарий</w:t>
      </w:r>
    </w:p>
    <w:p w14:paraId="715B3A7F" w14:textId="77777777" w:rsidR="0052114A" w:rsidRPr="00031F5D" w:rsidRDefault="00000000">
      <w:pPr>
        <w:rPr>
          <w:lang w:val="ru-RU"/>
        </w:rPr>
      </w:pPr>
      <w:r w:rsidRPr="00031F5D">
        <w:rPr>
          <w:b/>
          <w:lang w:val="ru-RU"/>
        </w:rPr>
        <w:t>Потребительская ценность</w:t>
      </w:r>
      <w:r w:rsidRPr="00031F5D">
        <w:rPr>
          <w:lang w:val="ru-RU"/>
        </w:rPr>
        <w:t xml:space="preserve"> — соответствие получаемых выгод совокупным затратам в определенной ситуации.</w:t>
      </w:r>
    </w:p>
    <w:p w14:paraId="53DFFEC4" w14:textId="77777777" w:rsidR="0052114A" w:rsidRPr="00031F5D" w:rsidRDefault="00000000">
      <w:pPr>
        <w:rPr>
          <w:lang w:val="ru-RU"/>
        </w:rPr>
      </w:pPr>
      <w:r w:rsidRPr="00031F5D">
        <w:rPr>
          <w:b/>
          <w:lang w:val="ru-RU"/>
        </w:rPr>
        <w:t>Характеристика</w:t>
      </w:r>
      <w:r w:rsidRPr="00031F5D">
        <w:rPr>
          <w:lang w:val="ru-RU"/>
        </w:rPr>
        <w:t xml:space="preserve"> — свойство продукта или услуги, описываемое независимо от его значимости для человека.</w:t>
      </w:r>
    </w:p>
    <w:p w14:paraId="533D7CF1" w14:textId="77777777" w:rsidR="0052114A" w:rsidRPr="00031F5D" w:rsidRDefault="00000000">
      <w:pPr>
        <w:rPr>
          <w:lang w:val="ru-RU"/>
        </w:rPr>
      </w:pPr>
      <w:r w:rsidRPr="00031F5D">
        <w:rPr>
          <w:b/>
          <w:lang w:val="ru-RU"/>
        </w:rPr>
        <w:t>Преимущество</w:t>
      </w:r>
      <w:r w:rsidRPr="00031F5D">
        <w:rPr>
          <w:lang w:val="ru-RU"/>
        </w:rPr>
        <w:t xml:space="preserve"> — полезность характеристики для конкретной задачи.</w:t>
      </w:r>
    </w:p>
    <w:p w14:paraId="78EF1E49" w14:textId="77777777" w:rsidR="0052114A" w:rsidRPr="00031F5D" w:rsidRDefault="00000000">
      <w:pPr>
        <w:rPr>
          <w:lang w:val="ru-RU"/>
        </w:rPr>
      </w:pPr>
      <w:r w:rsidRPr="00031F5D">
        <w:rPr>
          <w:b/>
          <w:lang w:val="ru-RU"/>
        </w:rPr>
        <w:t>Ценностное предложение</w:t>
      </w:r>
      <w:r w:rsidRPr="00031F5D">
        <w:rPr>
          <w:lang w:val="ru-RU"/>
        </w:rPr>
        <w:t xml:space="preserve"> — объяснение адресата, результата, оснований и условий получения ценности.</w:t>
      </w:r>
    </w:p>
    <w:p w14:paraId="0869D693" w14:textId="77777777" w:rsidR="0052114A" w:rsidRPr="00031F5D" w:rsidRDefault="00000000">
      <w:pPr>
        <w:rPr>
          <w:lang w:val="ru-RU"/>
        </w:rPr>
      </w:pPr>
      <w:r w:rsidRPr="00031F5D">
        <w:rPr>
          <w:b/>
          <w:lang w:val="ru-RU"/>
        </w:rPr>
        <w:t>Затраты перехода</w:t>
      </w:r>
      <w:r w:rsidRPr="00031F5D">
        <w:rPr>
          <w:lang w:val="ru-RU"/>
        </w:rPr>
        <w:t xml:space="preserve"> — деньги, время, усилия и риски, связанные со сменой способа действия.</w:t>
      </w:r>
    </w:p>
    <w:p w14:paraId="5F598936" w14:textId="77777777" w:rsidR="0052114A" w:rsidRPr="00031F5D" w:rsidRDefault="00000000">
      <w:pPr>
        <w:rPr>
          <w:lang w:val="ru-RU"/>
        </w:rPr>
      </w:pPr>
      <w:r w:rsidRPr="00031F5D">
        <w:rPr>
          <w:b/>
          <w:lang w:val="ru-RU"/>
        </w:rPr>
        <w:t>Принятие инновации</w:t>
      </w:r>
      <w:r w:rsidRPr="00031F5D">
        <w:rPr>
          <w:lang w:val="ru-RU"/>
        </w:rPr>
        <w:t xml:space="preserve"> — освоение и использование нового для потребителя решения, а не только знакомство с ним.</w:t>
      </w:r>
    </w:p>
    <w:p w14:paraId="08F1C539" w14:textId="77777777" w:rsidR="0052114A" w:rsidRDefault="00000000">
      <w:pPr>
        <w:pStyle w:val="21"/>
      </w:pPr>
      <w:proofErr w:type="spellStart"/>
      <w:r>
        <w:t>Источники</w:t>
      </w:r>
      <w:proofErr w:type="spellEnd"/>
      <w:r>
        <w:t xml:space="preserve"> и </w:t>
      </w:r>
      <w:proofErr w:type="spellStart"/>
      <w:r>
        <w:t>дальнейшее</w:t>
      </w:r>
      <w:proofErr w:type="spellEnd"/>
      <w:r>
        <w:t xml:space="preserve"> </w:t>
      </w:r>
      <w:proofErr w:type="spellStart"/>
      <w:r>
        <w:t>чтение</w:t>
      </w:r>
      <w:proofErr w:type="spellEnd"/>
    </w:p>
    <w:p w14:paraId="3E27BEB3" w14:textId="77777777" w:rsidR="0052114A" w:rsidRDefault="00000000">
      <w:pPr>
        <w:pStyle w:val="Small"/>
        <w:keepNext/>
      </w:pPr>
      <w:r>
        <w:t>[1] Gomez Albrecht M., Green M., Hoffman L. Principles of Marketing. OpenStax, 2023. § 9.1: Products, Services, and Experiences.</w:t>
      </w:r>
    </w:p>
    <w:p w14:paraId="15CBAC33" w14:textId="77777777" w:rsidR="0052114A" w:rsidRDefault="00000000">
      <w:pPr>
        <w:pStyle w:val="Small"/>
      </w:pPr>
      <w:hyperlink r:id="rId8">
        <w:proofErr w:type="spellStart"/>
        <w:r>
          <w:rPr>
            <w:color w:val="236C78"/>
            <w:u w:val="single"/>
          </w:rPr>
          <w:t>Открыть</w:t>
        </w:r>
        <w:proofErr w:type="spellEnd"/>
        <w:r>
          <w:rPr>
            <w:color w:val="236C78"/>
            <w:u w:val="single"/>
          </w:rPr>
          <w:t xml:space="preserve"> </w:t>
        </w:r>
        <w:proofErr w:type="spellStart"/>
        <w:r>
          <w:rPr>
            <w:color w:val="236C78"/>
            <w:u w:val="single"/>
          </w:rPr>
          <w:t>источник</w:t>
        </w:r>
        <w:proofErr w:type="spellEnd"/>
      </w:hyperlink>
    </w:p>
    <w:p w14:paraId="4199EBD5" w14:textId="77777777" w:rsidR="0052114A" w:rsidRDefault="00000000">
      <w:pPr>
        <w:pStyle w:val="Small"/>
        <w:keepNext/>
      </w:pPr>
      <w:r>
        <w:t>[2] Gomez Albrecht M., Green M., Hoffman L. Principles of Marketing. OpenStax, 2023. § 10.5: Stages in the Consumer Adoption Process for New Products.</w:t>
      </w:r>
    </w:p>
    <w:p w14:paraId="48F912E9" w14:textId="77777777" w:rsidR="0052114A" w:rsidRDefault="00000000">
      <w:pPr>
        <w:pStyle w:val="Small"/>
      </w:pPr>
      <w:hyperlink r:id="rId9">
        <w:proofErr w:type="spellStart"/>
        <w:r>
          <w:rPr>
            <w:color w:val="236C78"/>
            <w:u w:val="single"/>
          </w:rPr>
          <w:t>Открыть</w:t>
        </w:r>
        <w:proofErr w:type="spellEnd"/>
        <w:r>
          <w:rPr>
            <w:color w:val="236C78"/>
            <w:u w:val="single"/>
          </w:rPr>
          <w:t xml:space="preserve"> </w:t>
        </w:r>
        <w:proofErr w:type="spellStart"/>
        <w:r>
          <w:rPr>
            <w:color w:val="236C78"/>
            <w:u w:val="single"/>
          </w:rPr>
          <w:t>источник</w:t>
        </w:r>
        <w:proofErr w:type="spellEnd"/>
      </w:hyperlink>
    </w:p>
    <w:p w14:paraId="165747E5" w14:textId="77777777" w:rsidR="0052114A" w:rsidRPr="00031F5D" w:rsidRDefault="00000000">
      <w:pPr>
        <w:pStyle w:val="Small"/>
        <w:keepNext/>
        <w:rPr>
          <w:lang w:val="ru-RU"/>
        </w:rPr>
      </w:pPr>
      <w:r>
        <w:t xml:space="preserve">[3] Scheibehenne B., Greifeneder R., Todd P. M. Can There Ever Be Too Many Options? A Meta-Analytic Review of Choice Overload. Journal of Consumer Research. </w:t>
      </w:r>
      <w:r w:rsidRPr="00031F5D">
        <w:rPr>
          <w:lang w:val="ru-RU"/>
        </w:rPr>
        <w:t xml:space="preserve">2010. 37(3): 409–425. </w:t>
      </w:r>
      <w:r>
        <w:t>DOI</w:t>
      </w:r>
      <w:r w:rsidRPr="00031F5D">
        <w:rPr>
          <w:lang w:val="ru-RU"/>
        </w:rPr>
        <w:t>: 10.1086/651235.</w:t>
      </w:r>
    </w:p>
    <w:p w14:paraId="2D6DC81A" w14:textId="77777777" w:rsidR="0052114A" w:rsidRPr="00031F5D" w:rsidRDefault="00000000">
      <w:pPr>
        <w:pStyle w:val="Small"/>
        <w:rPr>
          <w:lang w:val="ru-RU"/>
        </w:rPr>
      </w:pPr>
      <w:hyperlink r:id="rId10">
        <w:r w:rsidRPr="00031F5D">
          <w:rPr>
            <w:color w:val="236C78"/>
            <w:u w:val="single"/>
            <w:lang w:val="ru-RU"/>
          </w:rPr>
          <w:t>Открыть источник</w:t>
        </w:r>
      </w:hyperlink>
    </w:p>
    <w:p w14:paraId="64653D75" w14:textId="580233E3" w:rsidR="0052114A" w:rsidRPr="00031F5D" w:rsidRDefault="0052114A">
      <w:pPr>
        <w:rPr>
          <w:lang w:val="ru-RU"/>
        </w:rPr>
      </w:pPr>
    </w:p>
    <w:sectPr w:rsidR="0052114A" w:rsidRPr="00031F5D" w:rsidSect="00034616">
      <w:headerReference w:type="default" r:id="rId11"/>
      <w:footerReference w:type="default" r:id="rId12"/>
      <w:pgSz w:w="11906" w:h="16838"/>
      <w:pgMar w:top="1049" w:right="1247" w:bottom="1020" w:left="1247" w:header="425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16D96" w14:textId="77777777" w:rsidR="00767207" w:rsidRDefault="00767207">
      <w:pPr>
        <w:spacing w:after="0" w:line="240" w:lineRule="auto"/>
      </w:pPr>
      <w:r>
        <w:separator/>
      </w:r>
    </w:p>
  </w:endnote>
  <w:endnote w:type="continuationSeparator" w:id="0">
    <w:p w14:paraId="6A26C061" w14:textId="77777777" w:rsidR="00767207" w:rsidRDefault="00767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15DA0" w14:textId="633DE189" w:rsidR="0052114A" w:rsidRDefault="0052114A">
    <w:pPr>
      <w:pStyle w:val="a7"/>
      <w:tabs>
        <w:tab w:val="right" w:pos="941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E30D7" w14:textId="77777777" w:rsidR="00767207" w:rsidRDefault="00767207">
      <w:pPr>
        <w:spacing w:after="0" w:line="240" w:lineRule="auto"/>
      </w:pPr>
      <w:r>
        <w:separator/>
      </w:r>
    </w:p>
  </w:footnote>
  <w:footnote w:type="continuationSeparator" w:id="0">
    <w:p w14:paraId="38C68BEF" w14:textId="77777777" w:rsidR="00767207" w:rsidRDefault="00767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603B4" w14:textId="5F65E638" w:rsidR="0052114A" w:rsidRDefault="0052114A">
    <w:pPr>
      <w:pStyle w:val="a5"/>
      <w:pBdr>
        <w:bottom w:val="single" w:sz="4" w:space="0" w:color="CEDDE2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861652">
    <w:abstractNumId w:val="8"/>
  </w:num>
  <w:num w:numId="2" w16cid:durableId="299196098">
    <w:abstractNumId w:val="6"/>
  </w:num>
  <w:num w:numId="3" w16cid:durableId="1147093634">
    <w:abstractNumId w:val="5"/>
  </w:num>
  <w:num w:numId="4" w16cid:durableId="1157577556">
    <w:abstractNumId w:val="4"/>
  </w:num>
  <w:num w:numId="5" w16cid:durableId="1573808774">
    <w:abstractNumId w:val="7"/>
  </w:num>
  <w:num w:numId="6" w16cid:durableId="51731500">
    <w:abstractNumId w:val="3"/>
  </w:num>
  <w:num w:numId="7" w16cid:durableId="1248152285">
    <w:abstractNumId w:val="2"/>
  </w:num>
  <w:num w:numId="8" w16cid:durableId="96758202">
    <w:abstractNumId w:val="1"/>
  </w:num>
  <w:num w:numId="9" w16cid:durableId="22832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1F5D"/>
    <w:rsid w:val="00034616"/>
    <w:rsid w:val="0006063C"/>
    <w:rsid w:val="0015074B"/>
    <w:rsid w:val="0029639D"/>
    <w:rsid w:val="00326F90"/>
    <w:rsid w:val="004F18A8"/>
    <w:rsid w:val="0052114A"/>
    <w:rsid w:val="0076720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2F594C"/>
  <w14:defaultImageDpi w14:val="300"/>
  <w15:docId w15:val="{380B2667-972E-4D84-9819-446CAEBE2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Times New Roman" w:hAnsi="Times New Roman"/>
      <w:color w:val="23323A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80" w:after="160"/>
      <w:outlineLvl w:val="0"/>
    </w:pPr>
    <w:rPr>
      <w:rFonts w:asciiTheme="majorHAnsi" w:eastAsiaTheme="majorEastAsia" w:hAnsiTheme="majorHAnsi" w:cstheme="majorBidi"/>
      <w:b/>
      <w:bCs/>
      <w:color w:val="193A4A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 w:after="160"/>
      <w:outlineLvl w:val="1"/>
    </w:pPr>
    <w:rPr>
      <w:rFonts w:asciiTheme="majorHAnsi" w:eastAsiaTheme="majorEastAsia" w:hAnsiTheme="majorHAnsi" w:cstheme="majorBidi"/>
      <w:b/>
      <w:bCs/>
      <w:color w:val="236C78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80" w:after="160"/>
      <w:outlineLvl w:val="2"/>
    </w:pPr>
    <w:rPr>
      <w:rFonts w:asciiTheme="majorHAnsi" w:eastAsiaTheme="majorEastAsia" w:hAnsiTheme="majorHAnsi" w:cstheme="majorBidi"/>
      <w:b/>
      <w:bCs/>
      <w:color w:val="193A4A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93A4A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a1"/>
    <w:pPr>
      <w:spacing w:after="100"/>
    </w:pPr>
    <w:rPr>
      <w:rFonts w:ascii="Arial" w:hAnsi="Arial"/>
      <w:sz w:val="21"/>
    </w:rPr>
  </w:style>
  <w:style w:type="paragraph" w:customStyle="1" w:styleId="Small">
    <w:name w:val="Small"/>
    <w:basedOn w:val="a1"/>
    <w:pPr>
      <w:spacing w:after="100"/>
    </w:pPr>
    <w:rPr>
      <w:rFonts w:ascii="Arial" w:hAnsi="Arial"/>
      <w:sz w:val="21"/>
    </w:rPr>
  </w:style>
  <w:style w:type="paragraph" w:customStyle="1" w:styleId="Callout">
    <w:name w:val="Callout"/>
    <w:basedOn w:val="a1"/>
    <w:pPr>
      <w:spacing w:before="100" w:after="200"/>
      <w:ind w:left="142" w:right="85"/>
    </w:pPr>
    <w:rPr>
      <w:rFonts w:ascii="Arial" w:hAnsi="Arial"/>
      <w:color w:val="245C65"/>
      <w:sz w:val="23"/>
    </w:rPr>
  </w:style>
  <w:style w:type="paragraph" w:customStyle="1" w:styleId="Question">
    <w:name w:val="Question"/>
    <w:basedOn w:val="a1"/>
    <w:pPr>
      <w:keepNext/>
      <w:spacing w:after="10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stax.org/books/principles-marketing/pages/9-1-products-services-and-experienc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academic.oup.com/jcr/article-abstract/37/3/409/182764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penstax.org/books/principles-marketing/pages/10-5-stages-in-the-consumer-adoption-process-for-new-product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2696</Words>
  <Characters>15371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Потребительская ценность, продукт, бренд и принятие инноваций</dc:title>
  <dc:subject>Управление поведением потребителей на рынке — лекционный курс</dc:subject>
  <dc:creator>Учебные материалы</dc:creator>
  <cp:keywords>бакалавриат; потребительское поведение; дистанционное обучение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2026-09-28T09:49:00Z</dcterms:modified>
  <cp:category/>
</cp:coreProperties>
</file>