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0F401" w14:textId="77777777" w:rsidR="00C07FD1" w:rsidRPr="00182075" w:rsidRDefault="00000000">
      <w:pPr>
        <w:pStyle w:val="aa"/>
        <w:rPr>
          <w:lang w:val="ru-RU"/>
        </w:rPr>
      </w:pPr>
      <w:r w:rsidRPr="00182075">
        <w:rPr>
          <w:lang w:val="ru-RU"/>
        </w:rPr>
        <w:t>Социальные и культурные факторы потребительского поведения</w:t>
      </w:r>
    </w:p>
    <w:p w14:paraId="35CD791F" w14:textId="77777777" w:rsidR="00C07FD1" w:rsidRPr="00182075" w:rsidRDefault="00000000">
      <w:pPr>
        <w:pStyle w:val="Small"/>
        <w:rPr>
          <w:lang w:val="ru-RU"/>
        </w:rPr>
      </w:pPr>
      <w:r w:rsidRPr="00182075">
        <w:rPr>
          <w:lang w:val="ru-RU"/>
        </w:rPr>
        <w:t>Лекция 5 • Неделя 5 • Курс «Управление поведением потребителей на рынке»</w:t>
      </w:r>
    </w:p>
    <w:p w14:paraId="67848BFA" w14:textId="77777777" w:rsidR="00C07FD1" w:rsidRPr="00182075" w:rsidRDefault="00000000">
      <w:pPr>
        <w:pStyle w:val="21"/>
        <w:rPr>
          <w:lang w:val="ru-RU"/>
        </w:rPr>
      </w:pPr>
      <w:r w:rsidRPr="00182075">
        <w:rPr>
          <w:lang w:val="ru-RU"/>
        </w:rPr>
        <w:t>Вопросы лекции</w:t>
      </w:r>
    </w:p>
    <w:p w14:paraId="62FAE1F1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1. Как референтные группы и нормы участвуют в потребительском выборе?</w:t>
      </w:r>
    </w:p>
    <w:p w14:paraId="4DBAB883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2. Как распределяются роли и согласуются интересы в совместной покупке?</w:t>
      </w:r>
    </w:p>
    <w:p w14:paraId="0F454AE4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3. Как рекомендации, отзывы и сообщества помогают или затрудняют решение?</w:t>
      </w:r>
    </w:p>
    <w:p w14:paraId="7056C360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 xml:space="preserve">4. Как учитывать культуру и жизненную ситуацию без </w:t>
      </w:r>
      <w:proofErr w:type="spellStart"/>
      <w:r w:rsidRPr="00182075">
        <w:rPr>
          <w:lang w:val="ru-RU"/>
        </w:rPr>
        <w:t>стереотипизации</w:t>
      </w:r>
      <w:proofErr w:type="spellEnd"/>
      <w:r w:rsidRPr="00182075">
        <w:rPr>
          <w:lang w:val="ru-RU"/>
        </w:rPr>
        <w:t>?</w:t>
      </w:r>
    </w:p>
    <w:p w14:paraId="4B921CB4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5. Как исследовать социальный контекст и ответственное потребление?</w:t>
      </w:r>
    </w:p>
    <w:p w14:paraId="6E07AD6F" w14:textId="77777777" w:rsidR="00C07FD1" w:rsidRPr="00182075" w:rsidRDefault="00000000">
      <w:pPr>
        <w:pStyle w:val="1"/>
        <w:pageBreakBefore/>
        <w:rPr>
          <w:lang w:val="ru-RU"/>
        </w:rPr>
      </w:pPr>
      <w:r w:rsidRPr="00182075">
        <w:rPr>
          <w:lang w:val="ru-RU"/>
        </w:rPr>
        <w:lastRenderedPageBreak/>
        <w:t>1. Референтные группы и социальные нормы</w:t>
      </w:r>
    </w:p>
    <w:p w14:paraId="37956473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 xml:space="preserve">В учебниках потребительского поведения социальные и культурные факторы рассматриваются наряду с личными и психологическими [1]. </w:t>
      </w:r>
      <w:r w:rsidRPr="00182075">
        <w:rPr>
          <w:b/>
          <w:lang w:val="ru-RU"/>
        </w:rPr>
        <w:t>Референтная группа</w:t>
      </w:r>
      <w:r w:rsidRPr="00182075">
        <w:rPr>
          <w:lang w:val="ru-RU"/>
        </w:rPr>
        <w:t xml:space="preserve"> — группа, с которой человек соотносит оценки, нормы или представление о себе в определенной ситуации. Она может быть реальной группой общения, профессиональным сообществом или желаемым кругом принадлежности. Значимость одной группы не означает одинакового влияния на все категории покупок.</w:t>
      </w:r>
    </w:p>
    <w:p w14:paraId="793B639E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Информационное влияние связано с использованием чужого опыта как источника знаний. Нормативное — с ожиданием одобрения или неодобрения. Идентификационное — с выражением принадлежности и представления о себе. В конкретной ситуации эти механизмы могут сочетаться. Совет коллеги о рабочем инструменте бывает одновременно полезной информацией и сигналом профессиональной нормы.</w:t>
      </w:r>
    </w:p>
    <w:p w14:paraId="7669AE6A" w14:textId="77777777" w:rsidR="00C07FD1" w:rsidRPr="00182075" w:rsidRDefault="00000000">
      <w:pPr>
        <w:pStyle w:val="21"/>
        <w:rPr>
          <w:lang w:val="ru-RU"/>
        </w:rPr>
      </w:pPr>
      <w:r w:rsidRPr="00182075">
        <w:rPr>
          <w:lang w:val="ru-RU"/>
        </w:rPr>
        <w:t>Нормы описательные и предписывающие</w:t>
      </w:r>
    </w:p>
    <w:p w14:paraId="4F5508D3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Описательная норма касается того, что, по мнению человека, другие обычно делают. Предписывающая — того, что они считают правильным или одобряемым. В материалах по теории запланированного поведения эти аспекты нормативных представлений различаются [2]. Для проекта важно не смешивать «многие так поступают» и «значимые люди это поддерживают».</w:t>
      </w:r>
    </w:p>
    <w:p w14:paraId="0C406B49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Фраза «так выбирают все» требует доказательств и определения группы. Даже достоверная популярность не подтверждает пригодность товара для каждого. Полезнее объяснить, в каких ситуациях предложение использовалось и какие характеристики оказались значимыми, сохранив возможность самостоятельного сравнения.</w:t>
      </w:r>
    </w:p>
    <w:p w14:paraId="1E6080D3" w14:textId="77777777" w:rsidR="00C07FD1" w:rsidRPr="00182075" w:rsidRDefault="00000000">
      <w:pPr>
        <w:pStyle w:val="21"/>
        <w:rPr>
          <w:lang w:val="ru-RU"/>
        </w:rPr>
      </w:pPr>
      <w:r w:rsidRPr="00182075">
        <w:rPr>
          <w:lang w:val="ru-RU"/>
        </w:rPr>
        <w:t>Как проверять влияние</w:t>
      </w:r>
    </w:p>
    <w:p w14:paraId="773AE60E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Исследователь спрашивает, с кем человек обсуждал последнюю покупку, какую информацию получил и что изменилось после разговора. Нельзя сразу задавать вопрос «насколько друзья заставили вас выбрать бренд?»: он предполагает и давление, и причинность. Лучше восстановить последовательность и альтернативы.</w:t>
      </w:r>
    </w:p>
    <w:p w14:paraId="2998AB43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Если покупатели одной группы выбирают похожие товары, это может объясняться общими условиями, а не прямым влиянием друг на друга. Например, коллегам требуется совместимое оборудование. Сходство поведения само по себе не доказывает социальное заражение. Для управленческого решения нужно выяснить механизм: совместимость, доступность, обмен опытом или стремление соответствовать норме.</w:t>
      </w:r>
    </w:p>
    <w:p w14:paraId="60EEECB3" w14:textId="77777777" w:rsidR="00C07FD1" w:rsidRPr="00182075" w:rsidRDefault="00000000">
      <w:pPr>
        <w:pStyle w:val="1"/>
        <w:pageBreakBefore/>
        <w:rPr>
          <w:lang w:val="ru-RU"/>
        </w:rPr>
      </w:pPr>
      <w:r w:rsidRPr="00182075">
        <w:rPr>
          <w:lang w:val="ru-RU"/>
        </w:rPr>
        <w:lastRenderedPageBreak/>
        <w:t>2. Семья и совместное принятие решений</w:t>
      </w:r>
    </w:p>
    <w:p w14:paraId="48FB742E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Совместная покупка включает несколько задач: определить необходимость, выбрать критерии, согласовать расходы, организовать приобретение и распределить последующее использование. Роли могут меняться между категориями и эпизодами. Человек, который оплачивает товар, не обязательно определяет все характеристики, а активный участник обсуждения не всегда принимает окончательное решение.</w:t>
      </w:r>
    </w:p>
    <w:p w14:paraId="71A4EACA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Для анализа используют карту ролей: инициатор, искатель информации, советчик, согласующий, покупатель, плательщик, пользователь и ответственный за обслуживание. Это учебный инструмент описания, а не утверждение, что в каждой семье существуют отдельные носители всех ролей. Иногда один человек выполняет несколько функций, иногда решение принимается совместно без явного лидера.</w:t>
      </w:r>
    </w:p>
    <w:p w14:paraId="5ED03EAB" w14:textId="77777777" w:rsidR="00C07FD1" w:rsidRPr="00182075" w:rsidRDefault="00000000">
      <w:pPr>
        <w:pStyle w:val="21"/>
        <w:rPr>
          <w:lang w:val="ru-RU"/>
        </w:rPr>
      </w:pPr>
      <w:r w:rsidRPr="00182075">
        <w:rPr>
          <w:lang w:val="ru-RU"/>
        </w:rPr>
        <w:t>Различия критериев</w:t>
      </w:r>
    </w:p>
    <w:p w14:paraId="7601068D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При выборе общего бытового прибора один участник может уделять внимание расходам, другой — шуму, третий — простоте ухода. Конфликт не обязательно означает иррациональность: люди будут испытывать разные последствия покупки. Поэтому полезно разделить обязательные условия, желательные характеристики и допустимые компромиссы.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3402"/>
        <w:gridCol w:w="3855"/>
      </w:tblGrid>
      <w:tr w:rsidR="00C07FD1" w14:paraId="0BB81CCA" w14:textId="77777777">
        <w:trPr>
          <w:cantSplit/>
          <w:tblHeader/>
          <w:jc w:val="center"/>
        </w:trPr>
        <w:tc>
          <w:tcPr>
            <w:tcW w:w="2154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06546A9" w14:textId="77777777" w:rsidR="00C07FD1" w:rsidRDefault="00000000">
            <w:pPr>
              <w:pStyle w:val="TableText"/>
            </w:pPr>
            <w:proofErr w:type="spellStart"/>
            <w:r>
              <w:rPr>
                <w:rFonts w:eastAsia="Arial" w:cs="Arial"/>
                <w:b/>
                <w:color w:val="FFFFFF"/>
              </w:rPr>
              <w:t>Роль</w:t>
            </w:r>
            <w:proofErr w:type="spellEnd"/>
            <w:r>
              <w:rPr>
                <w:rFonts w:eastAsia="Arial" w:cs="Arial"/>
                <w:b/>
                <w:color w:val="FFFFFF"/>
              </w:rPr>
              <w:t xml:space="preserve"> в </w:t>
            </w:r>
            <w:proofErr w:type="spellStart"/>
            <w:r>
              <w:rPr>
                <w:rFonts w:eastAsia="Arial" w:cs="Arial"/>
                <w:b/>
                <w:color w:val="FFFFFF"/>
              </w:rPr>
              <w:t>эпизоде</w:t>
            </w:r>
            <w:proofErr w:type="spellEnd"/>
          </w:p>
        </w:tc>
        <w:tc>
          <w:tcPr>
            <w:tcW w:w="3402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854898C" w14:textId="77777777" w:rsidR="00C07FD1" w:rsidRDefault="00000000">
            <w:pPr>
              <w:pStyle w:val="TableText"/>
            </w:pPr>
            <w:r>
              <w:rPr>
                <w:rFonts w:eastAsia="Arial" w:cs="Arial"/>
                <w:b/>
                <w:color w:val="FFFFFF"/>
              </w:rPr>
              <w:t>Возможный вопрос</w:t>
            </w:r>
          </w:p>
        </w:tc>
        <w:tc>
          <w:tcPr>
            <w:tcW w:w="3855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E2DBCFE" w14:textId="77777777" w:rsidR="00C07FD1" w:rsidRDefault="00000000">
            <w:pPr>
              <w:pStyle w:val="TableText"/>
            </w:pPr>
            <w:r>
              <w:rPr>
                <w:rFonts w:eastAsia="Arial" w:cs="Arial"/>
                <w:b/>
                <w:color w:val="FFFFFF"/>
              </w:rPr>
              <w:t>Что предложить для обсуждения</w:t>
            </w:r>
          </w:p>
        </w:tc>
      </w:tr>
      <w:tr w:rsidR="00C07FD1" w14:paraId="1941CCA8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13533EC" w14:textId="77777777" w:rsidR="00C07FD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Инициатор</w:t>
            </w:r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115A399" w14:textId="77777777" w:rsidR="00C07FD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Какую проблему нужно решить?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6320DA2" w14:textId="77777777" w:rsidR="00C07FD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Описание сценариев использования</w:t>
            </w:r>
          </w:p>
        </w:tc>
      </w:tr>
      <w:tr w:rsidR="00C07FD1" w14:paraId="62FADCFF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C55037B" w14:textId="77777777" w:rsidR="00C07FD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Сравнивающий варианты</w:t>
            </w:r>
          </w:p>
        </w:tc>
        <w:tc>
          <w:tcPr>
            <w:tcW w:w="3402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4732CDF" w14:textId="77777777" w:rsidR="00C07FD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Чем предложения отличаются?</w:t>
            </w:r>
          </w:p>
        </w:tc>
        <w:tc>
          <w:tcPr>
            <w:tcW w:w="3855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18D40C7" w14:textId="77777777" w:rsidR="00C07FD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Сопоставимые параметры</w:t>
            </w:r>
          </w:p>
        </w:tc>
      </w:tr>
      <w:tr w:rsidR="00C07FD1" w:rsidRPr="00182075" w14:paraId="6E86D3EA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CFD0026" w14:textId="77777777" w:rsidR="00C07FD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Плательщик</w:t>
            </w:r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0FB7FA8" w14:textId="77777777" w:rsidR="00C07FD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Каковы все расходы?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B5D1F4E" w14:textId="77777777" w:rsidR="00C07FD1" w:rsidRPr="00182075" w:rsidRDefault="00000000">
            <w:pPr>
              <w:pStyle w:val="TableText"/>
              <w:rPr>
                <w:lang w:val="ru-RU"/>
              </w:rPr>
            </w:pPr>
            <w:r w:rsidRPr="00182075">
              <w:rPr>
                <w:rFonts w:eastAsia="Arial" w:cs="Arial"/>
                <w:color w:val="243B48"/>
                <w:lang w:val="ru-RU"/>
              </w:rPr>
              <w:t>Полная стоимость приобретения и эксплуатации</w:t>
            </w:r>
          </w:p>
        </w:tc>
      </w:tr>
      <w:tr w:rsidR="00C07FD1" w14:paraId="532D5CBD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57CBD75" w14:textId="77777777" w:rsidR="00C07FD1" w:rsidRDefault="00000000">
            <w:pPr>
              <w:pStyle w:val="TableText"/>
            </w:pPr>
            <w:proofErr w:type="spellStart"/>
            <w:r>
              <w:rPr>
                <w:rFonts w:eastAsia="Arial" w:cs="Arial"/>
                <w:color w:val="243B48"/>
              </w:rPr>
              <w:t>Пользователь</w:t>
            </w:r>
            <w:proofErr w:type="spellEnd"/>
          </w:p>
        </w:tc>
        <w:tc>
          <w:tcPr>
            <w:tcW w:w="3402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D7CF84F" w14:textId="77777777" w:rsidR="00C07FD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Насколько удобно действие?</w:t>
            </w:r>
          </w:p>
        </w:tc>
        <w:tc>
          <w:tcPr>
            <w:tcW w:w="3855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E4EE17E" w14:textId="77777777" w:rsidR="00C07FD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Демонстрация, инструкция, проба</w:t>
            </w:r>
          </w:p>
        </w:tc>
      </w:tr>
      <w:tr w:rsidR="00C07FD1" w:rsidRPr="00182075" w14:paraId="4C61FC9B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E4BA0D2" w14:textId="77777777" w:rsidR="00C07FD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Ответственный за уход</w:t>
            </w:r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66549D2" w14:textId="77777777" w:rsidR="00C07FD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Что потребуется после покупки?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6CDB33C" w14:textId="77777777" w:rsidR="00C07FD1" w:rsidRPr="00182075" w:rsidRDefault="00000000">
            <w:pPr>
              <w:pStyle w:val="TableText"/>
              <w:rPr>
                <w:lang w:val="ru-RU"/>
              </w:rPr>
            </w:pPr>
            <w:r w:rsidRPr="00182075">
              <w:rPr>
                <w:rFonts w:eastAsia="Arial" w:cs="Arial"/>
                <w:color w:val="243B48"/>
                <w:lang w:val="ru-RU"/>
              </w:rPr>
              <w:t>Порядок обслуживания и расходные материалы</w:t>
            </w:r>
          </w:p>
        </w:tc>
      </w:tr>
    </w:tbl>
    <w:p w14:paraId="6624B13B" w14:textId="77777777" w:rsidR="00C07FD1" w:rsidRPr="00182075" w:rsidRDefault="00C07FD1">
      <w:pPr>
        <w:spacing w:after="0"/>
        <w:rPr>
          <w:lang w:val="ru-RU"/>
        </w:rPr>
      </w:pPr>
    </w:p>
    <w:p w14:paraId="28B005FE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Коммуникация должна помогать согласованию, а не усиливать давление одного участника на другого. Особенно важно не строить учебные рекомендации на гендерных стереотипах вроде «один выбирает красоту, другой технику». Такие предположения требуют данных и могут не соответствовать конкретной ситуации.</w:t>
      </w:r>
    </w:p>
    <w:p w14:paraId="03E2A7C9" w14:textId="77777777" w:rsidR="00C07FD1" w:rsidRPr="00182075" w:rsidRDefault="00000000">
      <w:pPr>
        <w:pStyle w:val="21"/>
        <w:rPr>
          <w:lang w:val="ru-RU"/>
        </w:rPr>
      </w:pPr>
      <w:r w:rsidRPr="00182075">
        <w:rPr>
          <w:lang w:val="ru-RU"/>
        </w:rPr>
        <w:t>Жизненный цикл без жестких ярлыков</w:t>
      </w:r>
    </w:p>
    <w:p w14:paraId="294B7A93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Изменение состава домохозяйства, переезд или новый график способны изменить потребительские задачи. Но возраст или семейный статус не определяют автоматически интерес к категории. Для исследования полезнее спросить о текущих обстоятельствах: сколько людей пользуются продуктом, как организовано хранение, кто отвечает за покупку. Эти сведения ближе к решению, чем обобщенный портрет «типичной семьи».</w:t>
      </w:r>
    </w:p>
    <w:p w14:paraId="4FAA27DA" w14:textId="77777777" w:rsidR="00C07FD1" w:rsidRPr="00182075" w:rsidRDefault="00000000">
      <w:pPr>
        <w:pStyle w:val="1"/>
        <w:pageBreakBefore/>
        <w:rPr>
          <w:lang w:val="ru-RU"/>
        </w:rPr>
      </w:pPr>
      <w:r w:rsidRPr="00182075">
        <w:rPr>
          <w:lang w:val="ru-RU"/>
        </w:rPr>
        <w:lastRenderedPageBreak/>
        <w:t>3. Рекомендации, отзывы и сообщества</w:t>
      </w:r>
    </w:p>
    <w:p w14:paraId="4DC7B6DA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Рекомендация ценна не только числом людей, которые ее поддержали, но и соответствием опыта задаче получателя. Отзыв о красивой упаковке не отвечает на вопрос о долговечности, а оценка доставки не подтверждает качество самого продукта. Поэтому анализировать следует содержание, обстоятельства использования и доступность подтверждений, а не только средний балл.</w:t>
      </w:r>
    </w:p>
    <w:p w14:paraId="01BEAF2D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Влияние автора может опираться на экспертизу, сходство ситуации, доверие к отношениям или известность. Эти основания различаются. Популярность не делает человека специалистом во всех категориях, а профессиональный опыт не гарантирует совпадения его предпочтений с задачей покупателя. Для ответственной коммуникации важно ясно обозначать предмет компетенции и возможную коммерческую заинтересованность.</w:t>
      </w:r>
    </w:p>
    <w:p w14:paraId="0B530CFE" w14:textId="77777777" w:rsidR="00C07FD1" w:rsidRPr="00182075" w:rsidRDefault="00000000">
      <w:pPr>
        <w:pStyle w:val="21"/>
        <w:rPr>
          <w:lang w:val="ru-RU"/>
        </w:rPr>
      </w:pPr>
      <w:r w:rsidRPr="00182075">
        <w:rPr>
          <w:lang w:val="ru-RU"/>
        </w:rPr>
        <w:t>Как читать отзывы аналитически</w:t>
      </w:r>
    </w:p>
    <w:p w14:paraId="0C26363C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Выделяют единицу анализа: отзыв, автор, покупка или описанный эпизод. Повторные сообщения одного человека не равны независимым свидетельствам. Важно различать подтвержденные факты, субъективные оценки и предположения о мотивах компании. Негативный тон не делает сообщение ложным, а положительный — объективным.</w:t>
      </w:r>
    </w:p>
    <w:p w14:paraId="30FB4A9E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 xml:space="preserve">Отзывы формируются через </w:t>
      </w:r>
      <w:proofErr w:type="spellStart"/>
      <w:r w:rsidRPr="00182075">
        <w:rPr>
          <w:lang w:val="ru-RU"/>
        </w:rPr>
        <w:t>самоотбор</w:t>
      </w:r>
      <w:proofErr w:type="spellEnd"/>
      <w:r w:rsidRPr="00182075">
        <w:rPr>
          <w:lang w:val="ru-RU"/>
        </w:rPr>
        <w:t>: высказываются не все пользователи. Поэтому доля критических публикаций не равна точной доле недовольных клиентов. Но конкретные повторяющиеся затруднения могут стать основанием для проверки процесса. Например, сообщения о непонятном размере требуют аудита обозначений, даже если общий рейтинг остается высоким.</w:t>
      </w:r>
    </w:p>
    <w:p w14:paraId="336A6E23" w14:textId="77777777" w:rsidR="00C07FD1" w:rsidRPr="00182075" w:rsidRDefault="00000000">
      <w:pPr>
        <w:pStyle w:val="21"/>
        <w:rPr>
          <w:lang w:val="ru-RU"/>
        </w:rPr>
      </w:pPr>
      <w:r w:rsidRPr="00182075">
        <w:rPr>
          <w:lang w:val="ru-RU"/>
        </w:rPr>
        <w:t>Работа с сообществом</w:t>
      </w:r>
    </w:p>
    <w:p w14:paraId="15100664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Компания может отвечать на вопросы, предоставлять проверяемые сведения и организовывать обмен опытом. При этом правила обсуждения должны быть понятными и применяться к содержанию, а не к выгодности оценки. Удаление жалобы только потому, что она отрицательная, лишает организацию полезной информации и затрудняет самостоятельный выбор других людей.</w:t>
      </w:r>
    </w:p>
    <w:p w14:paraId="22D1DD5B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В учебной стратегии нельзя предлагать фиктивные отзывы, скрытую оплату «независимых» рекомендаций или создание видимости массовой поддержки. Такая активность меняет информационную среду за счет недостоверности. Полезная альтернатива — облегчить получение реальных отзывов, задавать конкретные вопросы об опыте и раскрывать, как сообщения проверяются.</w:t>
      </w:r>
    </w:p>
    <w:p w14:paraId="6825BA48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Результат работы с рекомендациями оценивают через качество понимания и последующий опыт. Число упоминаний показывает распространение, но не доказывает соответствие предложения потребностям новых покупателей.</w:t>
      </w:r>
    </w:p>
    <w:p w14:paraId="0A684E47" w14:textId="77777777" w:rsidR="00C07FD1" w:rsidRPr="00182075" w:rsidRDefault="00000000">
      <w:pPr>
        <w:pStyle w:val="1"/>
        <w:pageBreakBefore/>
        <w:rPr>
          <w:lang w:val="ru-RU"/>
        </w:rPr>
      </w:pPr>
      <w:r w:rsidRPr="00182075">
        <w:rPr>
          <w:lang w:val="ru-RU"/>
        </w:rPr>
        <w:lastRenderedPageBreak/>
        <w:t>4. Культура, субкультуры и ситуационное разнообразие</w:t>
      </w:r>
    </w:p>
    <w:p w14:paraId="5E8F9F68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Культура включает разделяемые значения, практики и представления, которые помогают людям интерпретировать окружающий мир. В потребительском анализе она может проявляться в языке, правилах вежливости, способах дарения, привычках использования и организации времени. Однако культура не является набором одинаковых свойств всех людей определенной страны или происхождения.</w:t>
      </w:r>
    </w:p>
    <w:p w14:paraId="46E339AA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Внутри любой широкой группы существуют различия опыта, профессии, поколения, места проживания и личных предпочтений. Поэтому культурные типологии можно использовать как источник вопросов, но не как индивидуальный диагноз. Утверждение «эта аудитория коллективистская, значит покупает по совету семьи» слишком далеко от конкретных данных.</w:t>
      </w:r>
    </w:p>
    <w:p w14:paraId="16280348" w14:textId="77777777" w:rsidR="00C07FD1" w:rsidRPr="00182075" w:rsidRDefault="00000000">
      <w:pPr>
        <w:pStyle w:val="21"/>
        <w:rPr>
          <w:lang w:val="ru-RU"/>
        </w:rPr>
      </w:pPr>
      <w:r w:rsidRPr="00182075">
        <w:rPr>
          <w:lang w:val="ru-RU"/>
        </w:rPr>
        <w:t>Локализация и проверка смысла</w:t>
      </w:r>
    </w:p>
    <w:p w14:paraId="18129070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Перевод слов не гарантирует сохранения смысла. Термины «подписка», «рассрочка», «комплект» или «бесплатно» могут быть поняты по-разному в зависимости от опыта. Для локализации полезно проверить не только грамматику, но и интерпретацию существенных условий: что человек считает включенным, когда ожидает оплату и какой результат предполагает.</w:t>
      </w:r>
    </w:p>
    <w:p w14:paraId="1B3BE3C5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На многоязычном рынке удобно предложить доступные языковые версии с согласованными условиями. Нельзя допускать, чтобы в одной версии были указаны ограничения, а в другой — только преимущества. Проверка должна охватывать содержание, навигацию и актуальность, а не только наличие переключателя языка.</w:t>
      </w:r>
    </w:p>
    <w:p w14:paraId="639DB031" w14:textId="77777777" w:rsidR="00C07FD1" w:rsidRPr="00182075" w:rsidRDefault="00000000">
      <w:pPr>
        <w:pStyle w:val="21"/>
        <w:rPr>
          <w:lang w:val="ru-RU"/>
        </w:rPr>
      </w:pPr>
      <w:r w:rsidRPr="00182075">
        <w:rPr>
          <w:lang w:val="ru-RU"/>
        </w:rPr>
        <w:t>Субкультуры и сообщества практики</w:t>
      </w:r>
    </w:p>
    <w:p w14:paraId="337D2769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Объединение вокруг увлечения или профессии может создавать собственный словарь и критерии качества. Опытный любитель фотографии и начинающий пользователь обсуждают один товар, но нуждаются в разной глубине объяснения. Это различие знаний и задач, а не основание считать одну группу «более развитой». Полезная коммуникация дает понятный вход и возможность углубления.</w:t>
      </w:r>
    </w:p>
    <w:p w14:paraId="635DB84A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Жизненная ситуация также может быть важнее демографического признака. Переезд, новая работа или изменение маршрута создают потребности, которые не совпадают с привычной возрастной сегментацией. Поэтому исследователь сочетает контекст с наблюдаемым поведением, а не заменяет его анкетным профилем.</w:t>
      </w:r>
    </w:p>
    <w:p w14:paraId="1D73E439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Практический принцип: описывайте различия так, чтобы из них следовало проверяемое решение. «Нужна инструкция без профессионального жаргона для первого использования» полезнее, чем «эта группа не любит сложность». Первое утверждение связано с задачей, второе создает неоправданный ярлык.</w:t>
      </w:r>
    </w:p>
    <w:p w14:paraId="0207236C" w14:textId="77777777" w:rsidR="00C07FD1" w:rsidRPr="00182075" w:rsidRDefault="00000000">
      <w:pPr>
        <w:pStyle w:val="1"/>
        <w:pageBreakBefore/>
        <w:rPr>
          <w:lang w:val="ru-RU"/>
        </w:rPr>
      </w:pPr>
      <w:r w:rsidRPr="00182075">
        <w:rPr>
          <w:lang w:val="ru-RU"/>
        </w:rPr>
        <w:lastRenderedPageBreak/>
        <w:t>5. Ответственное потребление и исследование контекста</w:t>
      </w:r>
    </w:p>
    <w:p w14:paraId="66E68900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Потребительское решение может учитывать последствия для других людей и окружающей среды: долговечность, ремонт, повторное использование, упаковку и утилизацию. Но заявленная значимость этих вопросов не означает одинакового поведения во всех обстоятельствах. Доступность инфраструктуры, цена, информация и удобство способны ограничивать реализацию предпочтений.</w:t>
      </w:r>
    </w:p>
    <w:p w14:paraId="3522A9A2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Для компании важно не подменять содержательные изменения общими словами «экологичный» или «ответственный». В учебном предложении следует указывать конкретную характеристику, способ подтверждения и границу вывода. Например, наличие сменной детали не доказывает автоматически меньший общий экологический след; для такого вывода требуется отдельное исследование жизненного цикла.</w:t>
      </w:r>
    </w:p>
    <w:p w14:paraId="0DD27429" w14:textId="77777777" w:rsidR="00C07FD1" w:rsidRPr="00182075" w:rsidRDefault="00000000">
      <w:pPr>
        <w:pStyle w:val="21"/>
        <w:rPr>
          <w:lang w:val="ru-RU"/>
        </w:rPr>
      </w:pPr>
      <w:r w:rsidRPr="00182075">
        <w:rPr>
          <w:lang w:val="ru-RU"/>
        </w:rPr>
        <w:t>Как исследовать социальный контекст</w:t>
      </w:r>
    </w:p>
    <w:p w14:paraId="5DBF073C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Начните с описания эпизода: кто участвовал, какие обстоятельства были общими, где возникли разногласия и какие источники считались убедительными. Затем выделите то, что организация способна изменить: доступность информации для разных участников, прозрачность расходов, возможность совместного сравнения или удобство возврата упаковки.</w:t>
      </w:r>
    </w:p>
    <w:p w14:paraId="0485676F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 xml:space="preserve">Методические и этические решения должны соответствовать цели. Кодекс </w:t>
      </w:r>
      <w:r>
        <w:t>ICC</w:t>
      </w:r>
      <w:r w:rsidRPr="00182075">
        <w:rPr>
          <w:lang w:val="ru-RU"/>
        </w:rPr>
        <w:t>/</w:t>
      </w:r>
      <w:r>
        <w:t>ESOMAR</w:t>
      </w:r>
      <w:r w:rsidRPr="00182075">
        <w:rPr>
          <w:lang w:val="ru-RU"/>
        </w:rPr>
        <w:t xml:space="preserve"> подчеркивает ответственность исследователей и прозрачность работы с данными [3]. В учебном проекте это означает отказ от лишних чувствительных вопросов и ясное объяснение использования ответов. Профессиональный кодекс не заменяет применимого законодательства.</w:t>
      </w:r>
    </w:p>
    <w:p w14:paraId="0CDDD09D" w14:textId="77777777" w:rsidR="00C07FD1" w:rsidRPr="00182075" w:rsidRDefault="00000000">
      <w:pPr>
        <w:pStyle w:val="21"/>
        <w:rPr>
          <w:lang w:val="ru-RU"/>
        </w:rPr>
      </w:pPr>
      <w:r w:rsidRPr="00182075">
        <w:rPr>
          <w:lang w:val="ru-RU"/>
        </w:rPr>
        <w:t>Проверка гипотезы</w:t>
      </w:r>
    </w:p>
    <w:p w14:paraId="3498CEDC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Допустим, команда считает, что люди не используют многоразовую упаковку из-за слабой мотивации. Альтернативная гипотеза — неудобное место возврата. Для проверки недостаточно еще раз спросить, «важна ли экология». Нужно изучить маршрут, время и возможность вернуть упаковку. Решение может состоять в организации точки приема, а не в усилении морального призыва.</w:t>
      </w:r>
    </w:p>
    <w:p w14:paraId="65448DC2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Социальное объяснение должно оставаться открытым для опровержения. Если после изменения инфраструктуры поведение не меняется, исследуют другие барьеры. Нельзя объявлять участников «безответственными», когда продукт, условия или измерение не были проверены.</w:t>
      </w:r>
    </w:p>
    <w:p w14:paraId="11FF4264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Итог анализа — карта взаимодействия людей, значений и условий. Она помогает создавать предложение, которое учитывает реальные отношения и разнообразие опыта, не превращая социальные признаки в инструмент давления или необоснованного исключения.</w:t>
      </w:r>
    </w:p>
    <w:p w14:paraId="08A2B3EC" w14:textId="77777777" w:rsidR="00C07FD1" w:rsidRPr="00182075" w:rsidRDefault="00000000">
      <w:pPr>
        <w:pStyle w:val="1"/>
        <w:pageBreakBefore/>
        <w:rPr>
          <w:lang w:val="ru-RU"/>
        </w:rPr>
      </w:pPr>
      <w:r w:rsidRPr="00182075">
        <w:rPr>
          <w:lang w:val="ru-RU"/>
        </w:rPr>
        <w:lastRenderedPageBreak/>
        <w:t>6. Разобранный кейс: общая покупка для квартиры</w:t>
      </w:r>
    </w:p>
    <w:p w14:paraId="64DD240C" w14:textId="77777777" w:rsidR="00C07FD1" w:rsidRPr="00182075" w:rsidRDefault="00000000">
      <w:pPr>
        <w:pStyle w:val="Small"/>
        <w:rPr>
          <w:lang w:val="ru-RU"/>
        </w:rPr>
      </w:pPr>
      <w:r w:rsidRPr="00182075">
        <w:rPr>
          <w:lang w:val="ru-RU"/>
        </w:rPr>
        <w:t>Персонажи и обстоятельства кейса вымышлены.</w:t>
      </w:r>
    </w:p>
    <w:p w14:paraId="12BCCCDC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Трое соседей по квартире выбирают общий пылесос. Инициатор хочет сократить время уборки. Второй участник готов участвовать в расходах, но ограничивает общий бюджет. Третий согласен обслуживать прибор, если очистка будет простой. Интернет-магазин показывает рейтинг и мощность, но не объясняет стоимость расходных материалов и порядок ухода. Обсуждение затягивается.</w:t>
      </w:r>
    </w:p>
    <w:p w14:paraId="700BC7FF" w14:textId="77777777" w:rsidR="00C07FD1" w:rsidRPr="00182075" w:rsidRDefault="00000000">
      <w:pPr>
        <w:pStyle w:val="21"/>
        <w:rPr>
          <w:lang w:val="ru-RU"/>
        </w:rPr>
      </w:pPr>
      <w:r w:rsidRPr="00182075">
        <w:rPr>
          <w:lang w:val="ru-RU"/>
        </w:rPr>
        <w:t>Анализ ролей и критериев</w:t>
      </w:r>
    </w:p>
    <w:p w14:paraId="0F0464B2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Проблема не сводится к недостаточной известности бренда. Участники оценивают разные последствия: время, деньги и обязанности. Рейтинг может быть полезным сигналом, но не отвечает на вопросы о распределении расходов и уходе. Дополнительная рекомендация популярного автора также не обязательно устранит эти разногласия.</w:t>
      </w:r>
    </w:p>
    <w:p w14:paraId="3697B93C" w14:textId="77777777" w:rsidR="00C07FD1" w:rsidRPr="00182075" w:rsidRDefault="00000000">
      <w:pPr>
        <w:pStyle w:val="21"/>
        <w:rPr>
          <w:lang w:val="ru-RU"/>
        </w:rPr>
      </w:pPr>
      <w:r w:rsidRPr="00182075">
        <w:rPr>
          <w:lang w:val="ru-RU"/>
        </w:rPr>
        <w:t>Решение</w:t>
      </w:r>
    </w:p>
    <w:p w14:paraId="75AA11F4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Команда магазина готовит сопоставимую карточку: цена прибора, расходные материалы, порядок очистки, размеры хранения и доступные условия обслуживания. Параметры приведены в одинаковых единицах. Отдельно указывается, какие расходы зависят от интенсивности использования, чтобы условный расчет не выглядел гарантией.</w:t>
      </w:r>
    </w:p>
    <w:p w14:paraId="187FB1B5" w14:textId="77777777" w:rsidR="00C07FD1" w:rsidRPr="00182075" w:rsidRDefault="00000000">
      <w:pPr>
        <w:pStyle w:val="21"/>
        <w:rPr>
          <w:lang w:val="ru-RU"/>
        </w:rPr>
      </w:pPr>
      <w:r w:rsidRPr="00182075">
        <w:rPr>
          <w:lang w:val="ru-RU"/>
        </w:rPr>
        <w:t>Учебная проверка</w:t>
      </w:r>
    </w:p>
    <w:p w14:paraId="75D12E2A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Восемь групп добровольцев получают вымышленные сценарии совместного выбора. Пять групп с новой карточкой правильно перечисляют все обязательные расходы и распределяют вопросы между участниками; три пропускают стоимость сменного фильтра. Эти результаты не характеризуют все домохозяйства, но помогают обнаружить слабое место представления информации.</w:t>
      </w:r>
    </w:p>
    <w:p w14:paraId="74E4F10C" w14:textId="77777777" w:rsidR="00C07FD1" w:rsidRPr="00182075" w:rsidRDefault="00000000">
      <w:pPr>
        <w:pStyle w:val="21"/>
        <w:rPr>
          <w:lang w:val="ru-RU"/>
        </w:rPr>
      </w:pPr>
      <w:r w:rsidRPr="00182075">
        <w:rPr>
          <w:lang w:val="ru-RU"/>
        </w:rPr>
        <w:t>Доработка и ограничения</w:t>
      </w:r>
    </w:p>
    <w:p w14:paraId="0E0059DD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Стоимость расходного материала размещают рядом с описанием ухода, после чего планируют повторный просмотр. Не нужно заключать, что «молодые люди не умеют считать бюджет»: данные относятся к конкретной задаче и макету. Если часть групп предпочитает другой вариант, это может быть обоснованным выбором, а не неудачей коммуникации.</w:t>
      </w:r>
    </w:p>
    <w:p w14:paraId="3E843A8B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Кейс показывает, что социальный контекст меняет требования к информации. Решение поддерживает согласование между участниками и не пытается найти самого внушаемого человека, чтобы через него навязать покупку остальным. Качественный результат — понятные компромиссы, распределенные обязанности и отсутствие скрытых расходов.</w:t>
      </w:r>
    </w:p>
    <w:p w14:paraId="71C6B65E" w14:textId="77777777" w:rsidR="00C07FD1" w:rsidRPr="00182075" w:rsidRDefault="00000000">
      <w:pPr>
        <w:pStyle w:val="1"/>
        <w:pageBreakBefore/>
        <w:rPr>
          <w:lang w:val="ru-RU"/>
        </w:rPr>
      </w:pPr>
      <w:r w:rsidRPr="00182075">
        <w:rPr>
          <w:lang w:val="ru-RU"/>
        </w:rPr>
        <w:lastRenderedPageBreak/>
        <w:t>7. Самопроверка и самостоятельная работа</w:t>
      </w:r>
    </w:p>
    <w:p w14:paraId="6F4F261D" w14:textId="77777777" w:rsidR="00C07FD1" w:rsidRPr="00182075" w:rsidRDefault="00000000">
      <w:pPr>
        <w:pStyle w:val="Question"/>
        <w:rPr>
          <w:lang w:val="ru-RU"/>
        </w:rPr>
      </w:pPr>
      <w:r w:rsidRPr="00182075">
        <w:rPr>
          <w:lang w:val="ru-RU"/>
        </w:rPr>
        <w:t>1. Чем информационное влияние отличается от нормативного?</w:t>
      </w:r>
    </w:p>
    <w:p w14:paraId="4A760B04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Ориентир: в первом случае чужой опыт используется как знание, во втором значимы ожидаемое одобрение и соответствие норме. Оба механизма могут присутствовать одновременно.</w:t>
      </w:r>
    </w:p>
    <w:p w14:paraId="2D916242" w14:textId="77777777" w:rsidR="00C07FD1" w:rsidRPr="00182075" w:rsidRDefault="00000000">
      <w:pPr>
        <w:pStyle w:val="Question"/>
        <w:rPr>
          <w:lang w:val="ru-RU"/>
        </w:rPr>
      </w:pPr>
      <w:r w:rsidRPr="00182075">
        <w:rPr>
          <w:lang w:val="ru-RU"/>
        </w:rPr>
        <w:t>2. Почему плательщик не всегда является единственным адресатом?</w:t>
      </w:r>
    </w:p>
    <w:p w14:paraId="3D735498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Ориентир: пользователь и ответственный за обслуживание сталкиваются с другими последствиями. Успешная совместная покупка требует понимания существенных условий всеми затронутыми участниками.</w:t>
      </w:r>
    </w:p>
    <w:p w14:paraId="0C812429" w14:textId="77777777" w:rsidR="00C07FD1" w:rsidRPr="00182075" w:rsidRDefault="00000000">
      <w:pPr>
        <w:pStyle w:val="Question"/>
        <w:rPr>
          <w:lang w:val="ru-RU"/>
        </w:rPr>
      </w:pPr>
      <w:r w:rsidRPr="00182075">
        <w:rPr>
          <w:lang w:val="ru-RU"/>
        </w:rPr>
        <w:t>3. Можно ли считать долю негативных отзывов долей недовольных клиентов?</w:t>
      </w:r>
    </w:p>
    <w:p w14:paraId="515503AC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 xml:space="preserve">Ориентир: без дополнительных оснований нельзя, поскольку авторы отзывов </w:t>
      </w:r>
      <w:proofErr w:type="spellStart"/>
      <w:r w:rsidRPr="00182075">
        <w:rPr>
          <w:lang w:val="ru-RU"/>
        </w:rPr>
        <w:t>самоотбираются</w:t>
      </w:r>
      <w:proofErr w:type="spellEnd"/>
      <w:r w:rsidRPr="00182075">
        <w:rPr>
          <w:lang w:val="ru-RU"/>
        </w:rPr>
        <w:t xml:space="preserve"> и могут писать неоднократно. Отзывы полезны для поиска проблем, но не автоматически представляют всю аудиторию.</w:t>
      </w:r>
    </w:p>
    <w:p w14:paraId="457AC1F7" w14:textId="77777777" w:rsidR="00C07FD1" w:rsidRPr="00182075" w:rsidRDefault="00000000">
      <w:pPr>
        <w:pStyle w:val="Question"/>
        <w:rPr>
          <w:lang w:val="ru-RU"/>
        </w:rPr>
      </w:pPr>
      <w:r w:rsidRPr="00182075">
        <w:rPr>
          <w:lang w:val="ru-RU"/>
        </w:rPr>
        <w:t>4. Чем локализация отличается от буквального перевода?</w:t>
      </w:r>
    </w:p>
    <w:p w14:paraId="116FEA77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Ориентир: она проверяет смысл, понятность терминов и согласованность условий в контексте использования. Наличие нескольких языковых версий само по себе не гарантирует равной информированности.</w:t>
      </w:r>
    </w:p>
    <w:p w14:paraId="0D828085" w14:textId="77777777" w:rsidR="00C07FD1" w:rsidRPr="00182075" w:rsidRDefault="00000000">
      <w:pPr>
        <w:pStyle w:val="Question"/>
        <w:rPr>
          <w:lang w:val="ru-RU"/>
        </w:rPr>
      </w:pPr>
      <w:r w:rsidRPr="00182075">
        <w:rPr>
          <w:lang w:val="ru-RU"/>
        </w:rPr>
        <w:t>5. Почему ценностный призыв не заменяет инфраструктуру?</w:t>
      </w:r>
    </w:p>
    <w:p w14:paraId="62892503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Ориентир: даже мотивированный человек может не иметь доступного способа действовать. Необходимо проверять маршрут, время, наличие и другие реальные ограничения.</w:t>
      </w:r>
    </w:p>
    <w:p w14:paraId="425DD4DB" w14:textId="77777777" w:rsidR="00C07FD1" w:rsidRPr="00182075" w:rsidRDefault="00000000">
      <w:pPr>
        <w:pStyle w:val="21"/>
        <w:rPr>
          <w:lang w:val="ru-RU"/>
        </w:rPr>
      </w:pPr>
      <w:r w:rsidRPr="00182075">
        <w:rPr>
          <w:lang w:val="ru-RU"/>
        </w:rPr>
        <w:t>Самостоятельное задание</w:t>
      </w:r>
    </w:p>
    <w:p w14:paraId="24BBBD90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Опишите совместную покупку для вымышленного домохозяйства или небольшой группы друзей. Постройте карту не менее четырех ролей и трех возможных разногласий. Предложите, какие сведения помогут согласованию. Затем сформулируйте четыре нейтральных вопроса интервью и два недопустимых стереотипных вывода, от которых следует отказаться.</w:t>
      </w:r>
    </w:p>
    <w:p w14:paraId="5163F548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Объем — 600–800 слов. Дополнительно объясните, как вы бы проверили смысл сообщения для участников с разным опытом использования категории. Реальный сбор личных данных не требуется.</w:t>
      </w:r>
    </w:p>
    <w:p w14:paraId="02C5BF4D" w14:textId="77777777" w:rsidR="00C07FD1" w:rsidRPr="00182075" w:rsidRDefault="00000000">
      <w:pPr>
        <w:pStyle w:val="21"/>
        <w:rPr>
          <w:lang w:val="ru-RU"/>
        </w:rPr>
      </w:pPr>
      <w:r w:rsidRPr="00182075">
        <w:rPr>
          <w:lang w:val="ru-RU"/>
        </w:rPr>
        <w:t>Критерии качества</w:t>
      </w:r>
    </w:p>
    <w:p w14:paraId="77488EEA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Карта ролей — 25%; анализ социальных механизмов — 25%; полезность информационного решения — 25%; корректность исследования и отсутствие стереотипов — 25%.</w:t>
      </w:r>
    </w:p>
    <w:p w14:paraId="359F8BB7" w14:textId="77777777" w:rsidR="00C07FD1" w:rsidRPr="00182075" w:rsidRDefault="00000000">
      <w:pPr>
        <w:pStyle w:val="1"/>
        <w:pageBreakBefore/>
        <w:rPr>
          <w:lang w:val="ru-RU"/>
        </w:rPr>
      </w:pPr>
      <w:r w:rsidRPr="00182075">
        <w:rPr>
          <w:lang w:val="ru-RU"/>
        </w:rPr>
        <w:lastRenderedPageBreak/>
        <w:t>8. Итоги и опорные понятия</w:t>
      </w:r>
    </w:p>
    <w:p w14:paraId="44BFBAD4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Социальный контекст помогает понять, почему один товар оценивается по разным критериям и почему информация, достаточная одному человеку, не решает задачу группы. Роли, нормы, рекомендации и культурные значения следует исследовать в конкретной ситуации. Они не дают основания предсказывать индивидуальные предпочтения по широкому социальному ярлыку.</w:t>
      </w:r>
    </w:p>
    <w:p w14:paraId="0A6F3E92" w14:textId="77777777" w:rsidR="00C07FD1" w:rsidRPr="00182075" w:rsidRDefault="00000000">
      <w:pPr>
        <w:rPr>
          <w:lang w:val="ru-RU"/>
        </w:rPr>
      </w:pPr>
      <w:r w:rsidRPr="00182075">
        <w:rPr>
          <w:lang w:val="ru-RU"/>
        </w:rPr>
        <w:t>Ответственное управление поддерживает обмен достоверной информацией и согласование интересов. Оно не создает фиктивное большинство, не скрывает коммерческую заинтересованность и не использует семейные разногласия как средство давления. Содержательный результат — предложение, которое понятнее и доступнее людям с различным опытом.</w:t>
      </w:r>
    </w:p>
    <w:p w14:paraId="68C01B90" w14:textId="77777777" w:rsidR="00C07FD1" w:rsidRPr="00182075" w:rsidRDefault="00000000">
      <w:pPr>
        <w:pStyle w:val="21"/>
        <w:rPr>
          <w:lang w:val="ru-RU"/>
        </w:rPr>
      </w:pPr>
      <w:r w:rsidRPr="00182075">
        <w:rPr>
          <w:lang w:val="ru-RU"/>
        </w:rPr>
        <w:t>Мини-глоссарий</w:t>
      </w:r>
    </w:p>
    <w:p w14:paraId="2CEE49D1" w14:textId="77777777" w:rsidR="00C07FD1" w:rsidRPr="00182075" w:rsidRDefault="00000000">
      <w:pPr>
        <w:rPr>
          <w:lang w:val="ru-RU"/>
        </w:rPr>
      </w:pPr>
      <w:r w:rsidRPr="00182075">
        <w:rPr>
          <w:b/>
          <w:lang w:val="ru-RU"/>
        </w:rPr>
        <w:t>Референтная группа</w:t>
      </w:r>
      <w:r w:rsidRPr="00182075">
        <w:rPr>
          <w:lang w:val="ru-RU"/>
        </w:rPr>
        <w:t xml:space="preserve"> — группа, с которой человек соотносит оценки, нормы или представление о себе.</w:t>
      </w:r>
    </w:p>
    <w:p w14:paraId="4C929CFC" w14:textId="77777777" w:rsidR="00C07FD1" w:rsidRPr="00182075" w:rsidRDefault="00000000">
      <w:pPr>
        <w:rPr>
          <w:lang w:val="ru-RU"/>
        </w:rPr>
      </w:pPr>
      <w:r w:rsidRPr="00182075">
        <w:rPr>
          <w:b/>
          <w:lang w:val="ru-RU"/>
        </w:rPr>
        <w:t>Описательная норма</w:t>
      </w:r>
      <w:r w:rsidRPr="00182075">
        <w:rPr>
          <w:lang w:val="ru-RU"/>
        </w:rPr>
        <w:t xml:space="preserve"> — представление о том, как обычно действуют другие.</w:t>
      </w:r>
    </w:p>
    <w:p w14:paraId="2F9D4305" w14:textId="77777777" w:rsidR="00C07FD1" w:rsidRPr="00182075" w:rsidRDefault="00000000">
      <w:pPr>
        <w:rPr>
          <w:lang w:val="ru-RU"/>
        </w:rPr>
      </w:pPr>
      <w:r w:rsidRPr="00182075">
        <w:rPr>
          <w:b/>
          <w:lang w:val="ru-RU"/>
        </w:rPr>
        <w:t>Предписывающая норма</w:t>
      </w:r>
      <w:r w:rsidRPr="00182075">
        <w:rPr>
          <w:lang w:val="ru-RU"/>
        </w:rPr>
        <w:t xml:space="preserve"> — представление о том, какие действия одобряются значимыми людьми.</w:t>
      </w:r>
    </w:p>
    <w:p w14:paraId="3F20D7A1" w14:textId="77777777" w:rsidR="00C07FD1" w:rsidRPr="00182075" w:rsidRDefault="00000000">
      <w:pPr>
        <w:rPr>
          <w:lang w:val="ru-RU"/>
        </w:rPr>
      </w:pPr>
      <w:r w:rsidRPr="00182075">
        <w:rPr>
          <w:b/>
          <w:lang w:val="ru-RU"/>
        </w:rPr>
        <w:t>Роль в покупке</w:t>
      </w:r>
      <w:r w:rsidRPr="00182075">
        <w:rPr>
          <w:lang w:val="ru-RU"/>
        </w:rPr>
        <w:t xml:space="preserve"> — функция участника в возникновении, выборе, оплате или использовании предложения.</w:t>
      </w:r>
    </w:p>
    <w:p w14:paraId="69FD19E5" w14:textId="77777777" w:rsidR="00C07FD1" w:rsidRPr="00182075" w:rsidRDefault="00000000">
      <w:pPr>
        <w:rPr>
          <w:lang w:val="ru-RU"/>
        </w:rPr>
      </w:pPr>
      <w:r w:rsidRPr="00182075">
        <w:rPr>
          <w:b/>
          <w:lang w:val="ru-RU"/>
        </w:rPr>
        <w:t>Локализация</w:t>
      </w:r>
      <w:r w:rsidRPr="00182075">
        <w:rPr>
          <w:lang w:val="ru-RU"/>
        </w:rPr>
        <w:t xml:space="preserve"> — адаптация содержания и формы к контексту использования с сохранением достоверных условий.</w:t>
      </w:r>
    </w:p>
    <w:p w14:paraId="2DD7614D" w14:textId="77777777" w:rsidR="00C07FD1" w:rsidRPr="00182075" w:rsidRDefault="00000000">
      <w:pPr>
        <w:rPr>
          <w:lang w:val="ru-RU"/>
        </w:rPr>
      </w:pPr>
      <w:proofErr w:type="spellStart"/>
      <w:r w:rsidRPr="00182075">
        <w:rPr>
          <w:b/>
          <w:lang w:val="ru-RU"/>
        </w:rPr>
        <w:t>Самоотбор</w:t>
      </w:r>
      <w:proofErr w:type="spellEnd"/>
      <w:r w:rsidRPr="00182075">
        <w:rPr>
          <w:lang w:val="ru-RU"/>
        </w:rPr>
        <w:t xml:space="preserve"> — ситуация, когда участие или публикация отзыва зависит от решения самого человека.</w:t>
      </w:r>
    </w:p>
    <w:p w14:paraId="3ABC8B28" w14:textId="77777777" w:rsidR="00C07FD1" w:rsidRDefault="00000000">
      <w:pPr>
        <w:pStyle w:val="21"/>
      </w:pPr>
      <w:proofErr w:type="spellStart"/>
      <w:r>
        <w:t>Источники</w:t>
      </w:r>
      <w:proofErr w:type="spellEnd"/>
      <w:r>
        <w:t xml:space="preserve"> и </w:t>
      </w:r>
      <w:proofErr w:type="spellStart"/>
      <w:r>
        <w:t>дальнейшее</w:t>
      </w:r>
      <w:proofErr w:type="spellEnd"/>
      <w:r>
        <w:t xml:space="preserve"> </w:t>
      </w:r>
      <w:proofErr w:type="spellStart"/>
      <w:r>
        <w:t>чтение</w:t>
      </w:r>
      <w:proofErr w:type="spellEnd"/>
    </w:p>
    <w:p w14:paraId="6E33629B" w14:textId="77777777" w:rsidR="00C07FD1" w:rsidRDefault="00000000">
      <w:pPr>
        <w:pStyle w:val="Small"/>
        <w:keepNext/>
      </w:pPr>
      <w:r>
        <w:t>[1] Gomez Albrecht M., Green M., Hoffman L. Principles of Marketing. OpenStax, 2023. § 3.2: Factors That Influence Consumer Buying Behavior.</w:t>
      </w:r>
    </w:p>
    <w:p w14:paraId="445AD5C9" w14:textId="77777777" w:rsidR="00C07FD1" w:rsidRDefault="00000000">
      <w:pPr>
        <w:pStyle w:val="Small"/>
      </w:pPr>
      <w:hyperlink r:id="rId8">
        <w:proofErr w:type="spellStart"/>
        <w:r>
          <w:rPr>
            <w:color w:val="236C78"/>
            <w:u w:val="single"/>
          </w:rPr>
          <w:t>Открыть</w:t>
        </w:r>
        <w:proofErr w:type="spellEnd"/>
        <w:r>
          <w:rPr>
            <w:color w:val="236C78"/>
            <w:u w:val="single"/>
          </w:rPr>
          <w:t xml:space="preserve"> </w:t>
        </w:r>
        <w:proofErr w:type="spellStart"/>
        <w:r>
          <w:rPr>
            <w:color w:val="236C78"/>
            <w:u w:val="single"/>
          </w:rPr>
          <w:t>источник</w:t>
        </w:r>
        <w:proofErr w:type="spellEnd"/>
      </w:hyperlink>
    </w:p>
    <w:p w14:paraId="6BC85510" w14:textId="77777777" w:rsidR="00C07FD1" w:rsidRDefault="00000000">
      <w:pPr>
        <w:pStyle w:val="Small"/>
        <w:keepNext/>
      </w:pPr>
      <w:r>
        <w:t>[2] Ajzen I. Constructing a Theory of Planned Behavior Questionnaire. Методические материалы автора. University of Massachusetts Amherst.</w:t>
      </w:r>
    </w:p>
    <w:p w14:paraId="7F7426DE" w14:textId="77777777" w:rsidR="00C07FD1" w:rsidRDefault="00000000">
      <w:pPr>
        <w:pStyle w:val="Small"/>
      </w:pPr>
      <w:hyperlink r:id="rId9">
        <w:proofErr w:type="spellStart"/>
        <w:r>
          <w:rPr>
            <w:color w:val="236C78"/>
            <w:u w:val="single"/>
          </w:rPr>
          <w:t>Открыть</w:t>
        </w:r>
        <w:proofErr w:type="spellEnd"/>
        <w:r>
          <w:rPr>
            <w:color w:val="236C78"/>
            <w:u w:val="single"/>
          </w:rPr>
          <w:t xml:space="preserve"> </w:t>
        </w:r>
        <w:proofErr w:type="spellStart"/>
        <w:r>
          <w:rPr>
            <w:color w:val="236C78"/>
            <w:u w:val="single"/>
          </w:rPr>
          <w:t>источник</w:t>
        </w:r>
        <w:proofErr w:type="spellEnd"/>
      </w:hyperlink>
    </w:p>
    <w:p w14:paraId="26040DC2" w14:textId="77777777" w:rsidR="00C07FD1" w:rsidRPr="00182075" w:rsidRDefault="00000000">
      <w:pPr>
        <w:pStyle w:val="Small"/>
        <w:keepNext/>
        <w:rPr>
          <w:lang w:val="ru-RU"/>
        </w:rPr>
      </w:pPr>
      <w:r>
        <w:t xml:space="preserve">[3] ICC / ESOMAR. International Code on Market, Opinion and Social Research and Data Analytics. </w:t>
      </w:r>
      <w:r w:rsidRPr="00182075">
        <w:rPr>
          <w:lang w:val="ru-RU"/>
        </w:rPr>
        <w:t>Редакция 2025 года. Профессиональный этический кодекс.</w:t>
      </w:r>
    </w:p>
    <w:p w14:paraId="04908FBD" w14:textId="77777777" w:rsidR="00C07FD1" w:rsidRPr="00182075" w:rsidRDefault="00000000">
      <w:pPr>
        <w:pStyle w:val="Small"/>
        <w:rPr>
          <w:lang w:val="ru-RU"/>
        </w:rPr>
      </w:pPr>
      <w:hyperlink r:id="rId10">
        <w:r w:rsidRPr="00182075">
          <w:rPr>
            <w:color w:val="236C78"/>
            <w:u w:val="single"/>
            <w:lang w:val="ru-RU"/>
          </w:rPr>
          <w:t>Открыть источник</w:t>
        </w:r>
      </w:hyperlink>
    </w:p>
    <w:p w14:paraId="461083C9" w14:textId="2268F924" w:rsidR="00C07FD1" w:rsidRPr="00182075" w:rsidRDefault="00C07FD1">
      <w:pPr>
        <w:rPr>
          <w:lang w:val="ru-RU"/>
        </w:rPr>
      </w:pPr>
    </w:p>
    <w:sectPr w:rsidR="00C07FD1" w:rsidRPr="00182075" w:rsidSect="00034616">
      <w:headerReference w:type="default" r:id="rId11"/>
      <w:footerReference w:type="default" r:id="rId12"/>
      <w:pgSz w:w="11906" w:h="16838"/>
      <w:pgMar w:top="1049" w:right="1247" w:bottom="1020" w:left="1247" w:header="425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3E610" w14:textId="77777777" w:rsidR="00FB33A1" w:rsidRDefault="00FB33A1">
      <w:pPr>
        <w:spacing w:after="0" w:line="240" w:lineRule="auto"/>
      </w:pPr>
      <w:r>
        <w:separator/>
      </w:r>
    </w:p>
  </w:endnote>
  <w:endnote w:type="continuationSeparator" w:id="0">
    <w:p w14:paraId="72F05886" w14:textId="77777777" w:rsidR="00FB33A1" w:rsidRDefault="00FB3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F85B5" w14:textId="4DF09AA1" w:rsidR="00C07FD1" w:rsidRDefault="00C07FD1">
    <w:pPr>
      <w:pStyle w:val="a7"/>
      <w:tabs>
        <w:tab w:val="right" w:pos="941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BA216" w14:textId="77777777" w:rsidR="00FB33A1" w:rsidRDefault="00FB33A1">
      <w:pPr>
        <w:spacing w:after="0" w:line="240" w:lineRule="auto"/>
      </w:pPr>
      <w:r>
        <w:separator/>
      </w:r>
    </w:p>
  </w:footnote>
  <w:footnote w:type="continuationSeparator" w:id="0">
    <w:p w14:paraId="165B9F56" w14:textId="77777777" w:rsidR="00FB33A1" w:rsidRDefault="00FB3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D4381" w14:textId="36CF68B4" w:rsidR="00C07FD1" w:rsidRDefault="00C07FD1">
    <w:pPr>
      <w:pStyle w:val="a5"/>
      <w:pBdr>
        <w:bottom w:val="single" w:sz="4" w:space="0" w:color="CEDDE2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2943841">
    <w:abstractNumId w:val="8"/>
  </w:num>
  <w:num w:numId="2" w16cid:durableId="2093814297">
    <w:abstractNumId w:val="6"/>
  </w:num>
  <w:num w:numId="3" w16cid:durableId="52434731">
    <w:abstractNumId w:val="5"/>
  </w:num>
  <w:num w:numId="4" w16cid:durableId="19011942">
    <w:abstractNumId w:val="4"/>
  </w:num>
  <w:num w:numId="5" w16cid:durableId="1996911358">
    <w:abstractNumId w:val="7"/>
  </w:num>
  <w:num w:numId="6" w16cid:durableId="170603381">
    <w:abstractNumId w:val="3"/>
  </w:num>
  <w:num w:numId="7" w16cid:durableId="591549296">
    <w:abstractNumId w:val="2"/>
  </w:num>
  <w:num w:numId="8" w16cid:durableId="1411854134">
    <w:abstractNumId w:val="1"/>
  </w:num>
  <w:num w:numId="9" w16cid:durableId="1534465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2075"/>
    <w:rsid w:val="0029639D"/>
    <w:rsid w:val="00326F90"/>
    <w:rsid w:val="0044376C"/>
    <w:rsid w:val="00AA1D8D"/>
    <w:rsid w:val="00B47730"/>
    <w:rsid w:val="00C07FD1"/>
    <w:rsid w:val="00CB0664"/>
    <w:rsid w:val="00FB33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6C4C7"/>
  <w14:defaultImageDpi w14:val="300"/>
  <w15:docId w15:val="{02ADEAC8-3056-482B-A782-ACE4006C2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color w:val="23323A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 w:after="160"/>
      <w:outlineLvl w:val="0"/>
    </w:pPr>
    <w:rPr>
      <w:rFonts w:asciiTheme="majorHAnsi" w:eastAsiaTheme="majorEastAsia" w:hAnsiTheme="majorHAnsi" w:cstheme="majorBidi"/>
      <w:b/>
      <w:bCs/>
      <w:color w:val="193A4A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 w:after="160"/>
      <w:outlineLvl w:val="1"/>
    </w:pPr>
    <w:rPr>
      <w:rFonts w:asciiTheme="majorHAnsi" w:eastAsiaTheme="majorEastAsia" w:hAnsiTheme="majorHAnsi" w:cstheme="majorBidi"/>
      <w:b/>
      <w:bCs/>
      <w:color w:val="236C78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80" w:after="160"/>
      <w:outlineLvl w:val="2"/>
    </w:pPr>
    <w:rPr>
      <w:rFonts w:asciiTheme="majorHAnsi" w:eastAsiaTheme="majorEastAsia" w:hAnsiTheme="majorHAnsi" w:cstheme="majorBidi"/>
      <w:b/>
      <w:bCs/>
      <w:color w:val="193A4A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93A4A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a1"/>
    <w:pPr>
      <w:spacing w:after="100"/>
    </w:pPr>
    <w:rPr>
      <w:rFonts w:ascii="Arial" w:hAnsi="Arial"/>
      <w:sz w:val="21"/>
    </w:rPr>
  </w:style>
  <w:style w:type="paragraph" w:customStyle="1" w:styleId="Small">
    <w:name w:val="Small"/>
    <w:basedOn w:val="a1"/>
    <w:pPr>
      <w:spacing w:after="100"/>
    </w:pPr>
    <w:rPr>
      <w:rFonts w:ascii="Arial" w:hAnsi="Arial"/>
      <w:sz w:val="21"/>
    </w:rPr>
  </w:style>
  <w:style w:type="paragraph" w:customStyle="1" w:styleId="Callout">
    <w:name w:val="Callout"/>
    <w:basedOn w:val="a1"/>
    <w:pPr>
      <w:spacing w:before="100" w:after="200"/>
      <w:ind w:left="142" w:right="85"/>
    </w:pPr>
    <w:rPr>
      <w:rFonts w:ascii="Arial" w:hAnsi="Arial"/>
      <w:color w:val="245C65"/>
      <w:sz w:val="23"/>
    </w:rPr>
  </w:style>
  <w:style w:type="paragraph" w:customStyle="1" w:styleId="Question">
    <w:name w:val="Question"/>
    <w:basedOn w:val="a1"/>
    <w:pPr>
      <w:keepNext/>
      <w:spacing w:after="10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stax.org/books/principles-marketing/pages/3-2-factors-that-influence-consumer-buying-behavio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ccwbo.org/news-publications/business-solutions/iccesomar-international-code-market-opinion-social-research-data-analytic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eople.umass.edu/aizen/pdf/tpb.measurement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2771</Words>
  <Characters>15796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Социальные и культурные факторы потребительского поведения</dc:title>
  <dc:subject>Управление поведением потребителей на рынке — лекционный курс</dc:subject>
  <dc:creator>Учебные материалы</dc:creator>
  <cp:keywords>бакалавриат; потребительское поведение;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2026-09-28T09:45:00Z</dcterms:modified>
  <cp:category/>
</cp:coreProperties>
</file>