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99781" w14:textId="77777777" w:rsidR="00FA66E5" w:rsidRPr="004A7E8D" w:rsidRDefault="00000000">
      <w:pPr>
        <w:pStyle w:val="aa"/>
        <w:rPr>
          <w:lang w:val="ru-RU"/>
        </w:rPr>
      </w:pPr>
      <w:r w:rsidRPr="004A7E8D">
        <w:rPr>
          <w:lang w:val="ru-RU"/>
        </w:rPr>
        <w:t>Поведение потребителей как объект исследования и управления</w:t>
      </w:r>
    </w:p>
    <w:p w14:paraId="5A962400" w14:textId="77777777" w:rsidR="00FA66E5" w:rsidRPr="004A7E8D" w:rsidRDefault="00000000">
      <w:pPr>
        <w:pStyle w:val="Small"/>
        <w:rPr>
          <w:lang w:val="ru-RU"/>
        </w:rPr>
      </w:pPr>
      <w:r w:rsidRPr="004A7E8D">
        <w:rPr>
          <w:lang w:val="ru-RU"/>
        </w:rPr>
        <w:t>Лекция 1 • Неделя 1 • Курс «Управление поведением потребителей на рынке»</w:t>
      </w:r>
    </w:p>
    <w:p w14:paraId="00599194" w14:textId="77777777" w:rsidR="00FA66E5" w:rsidRDefault="00000000">
      <w:pPr>
        <w:pStyle w:val="21"/>
      </w:pPr>
      <w:proofErr w:type="spellStart"/>
      <w:r>
        <w:t>Вопросы</w:t>
      </w:r>
      <w:proofErr w:type="spellEnd"/>
      <w:r>
        <w:t xml:space="preserve"> лекции</w:t>
      </w:r>
    </w:p>
    <w:p w14:paraId="07328B8C" w14:textId="77777777" w:rsidR="00FA66E5" w:rsidRPr="004A7E8D" w:rsidRDefault="00000000">
      <w:pPr>
        <w:rPr>
          <w:lang w:val="ru-RU"/>
        </w:rPr>
      </w:pPr>
      <w:r w:rsidRPr="004A7E8D">
        <w:rPr>
          <w:lang w:val="ru-RU"/>
        </w:rPr>
        <w:t>1. Что охватывает потребительское поведение и где заканчивается отдельная покупка?</w:t>
      </w:r>
    </w:p>
    <w:p w14:paraId="392036DA" w14:textId="77777777" w:rsidR="00FA66E5" w:rsidRPr="004A7E8D" w:rsidRDefault="00000000">
      <w:pPr>
        <w:rPr>
          <w:lang w:val="ru-RU"/>
        </w:rPr>
      </w:pPr>
      <w:r w:rsidRPr="004A7E8D">
        <w:rPr>
          <w:lang w:val="ru-RU"/>
        </w:rPr>
        <w:t>2. Чем различаются потребитель, покупатель, плательщик и пользователь?</w:t>
      </w:r>
    </w:p>
    <w:p w14:paraId="23E52BDE" w14:textId="77777777" w:rsidR="00FA66E5" w:rsidRPr="004A7E8D" w:rsidRDefault="00000000">
      <w:pPr>
        <w:rPr>
          <w:lang w:val="ru-RU"/>
        </w:rPr>
      </w:pPr>
      <w:r w:rsidRPr="004A7E8D">
        <w:rPr>
          <w:lang w:val="ru-RU"/>
        </w:rPr>
        <w:t>3. Какие группы факторов необходимо учитывать при объяснении выбора?</w:t>
      </w:r>
    </w:p>
    <w:p w14:paraId="29D0B6AC" w14:textId="77777777" w:rsidR="00FA66E5" w:rsidRPr="004A7E8D" w:rsidRDefault="00000000">
      <w:pPr>
        <w:rPr>
          <w:lang w:val="ru-RU"/>
        </w:rPr>
      </w:pPr>
      <w:r w:rsidRPr="004A7E8D">
        <w:rPr>
          <w:lang w:val="ru-RU"/>
        </w:rPr>
        <w:t>4. Как связаны наблюдаемое поведение и инструменты маркетинга?</w:t>
      </w:r>
    </w:p>
    <w:p w14:paraId="46FCA1DA" w14:textId="77777777" w:rsidR="00FA66E5" w:rsidRPr="004A7E8D" w:rsidRDefault="00000000">
      <w:pPr>
        <w:rPr>
          <w:lang w:val="ru-RU"/>
        </w:rPr>
      </w:pPr>
      <w:r w:rsidRPr="004A7E8D">
        <w:rPr>
          <w:lang w:val="ru-RU"/>
        </w:rPr>
        <w:t>5. Где проходят границы ответственного управленческого воздействия?</w:t>
      </w:r>
    </w:p>
    <w:p w14:paraId="37CB99E5" w14:textId="77777777" w:rsidR="004A7E8D" w:rsidRDefault="004A7E8D" w:rsidP="004A7E8D">
      <w:pPr>
        <w:rPr>
          <w:lang w:val="ru-RU"/>
        </w:rPr>
      </w:pPr>
    </w:p>
    <w:p w14:paraId="34A2B870" w14:textId="77777777" w:rsidR="00FA66E5" w:rsidRPr="004A7E8D" w:rsidRDefault="00000000">
      <w:pPr>
        <w:rPr>
          <w:lang w:val="ru-RU"/>
        </w:rPr>
      </w:pPr>
      <w:r w:rsidRPr="004A7E8D">
        <w:rPr>
          <w:b/>
          <w:lang w:val="ru-RU"/>
        </w:rPr>
        <w:t>Потребительское поведение</w:t>
      </w:r>
      <w:r w:rsidRPr="004A7E8D">
        <w:rPr>
          <w:lang w:val="ru-RU"/>
        </w:rPr>
        <w:t xml:space="preserve"> — совокупность действий и процессов принятия решений, связанных с удовлетворением потребительских задач в определенных обстоятельствах. Процессы нельзя наблюдать так же непосредственно, как нажатие кнопки. Поэтому их изучают через сочетание поведения, объяснений участников и условий ситуации. Факт длительного просмотра страницы сам по себе не раскрывает мотив: это может быть интерес, затруднение или оставленная открытой вкладка.</w:t>
      </w:r>
    </w:p>
    <w:p w14:paraId="618A6372" w14:textId="77777777" w:rsidR="00FA66E5" w:rsidRPr="004A7E8D" w:rsidRDefault="00000000">
      <w:pPr>
        <w:pStyle w:val="21"/>
        <w:rPr>
          <w:lang w:val="ru-RU"/>
        </w:rPr>
      </w:pPr>
      <w:r w:rsidRPr="004A7E8D">
        <w:rPr>
          <w:lang w:val="ru-RU"/>
        </w:rPr>
        <w:t>Что именно считать наблюдением</w:t>
      </w:r>
    </w:p>
    <w:p w14:paraId="1516068D" w14:textId="77777777" w:rsidR="00FA66E5" w:rsidRPr="004A7E8D" w:rsidRDefault="00000000">
      <w:pPr>
        <w:rPr>
          <w:lang w:val="ru-RU"/>
        </w:rPr>
      </w:pPr>
      <w:r w:rsidRPr="004A7E8D">
        <w:rPr>
          <w:lang w:val="ru-RU"/>
        </w:rPr>
        <w:t>Единицей анализа может быть человек, домохозяйство, покупательская сессия, заказ или эпизод использования. Выбор единицы влияет на вывод. Двадцать заказов не обязательно означают двадцать покупателей; один человек способен сделать несколько заказов. И наоборот, один заказ может обслуживать потребности целой семьи. До расчета показателя необходимо определить, кого или что мы считаем.</w:t>
      </w:r>
    </w:p>
    <w:tbl>
      <w:tblPr>
        <w:tblW w:w="0" w:type="auto"/>
        <w:jc w:val="center"/>
        <w:tblLayout w:type="fixed"/>
        <w:tblLook w:val="04A0" w:firstRow="1" w:lastRow="0" w:firstColumn="1" w:lastColumn="0" w:noHBand="0" w:noVBand="1"/>
      </w:tblPr>
      <w:tblGrid>
        <w:gridCol w:w="2154"/>
        <w:gridCol w:w="3402"/>
        <w:gridCol w:w="3855"/>
      </w:tblGrid>
      <w:tr w:rsidR="00FA66E5" w14:paraId="504408CD" w14:textId="77777777">
        <w:trPr>
          <w:cantSplit/>
          <w:tblHeader/>
          <w:jc w:val="center"/>
        </w:trPr>
        <w:tc>
          <w:tcPr>
            <w:tcW w:w="2154" w:type="dxa"/>
            <w:shd w:val="clear" w:color="auto" w:fill="254656"/>
            <w:tcMar>
              <w:top w:w="85" w:type="dxa"/>
              <w:left w:w="105" w:type="dxa"/>
              <w:bottom w:w="85" w:type="dxa"/>
              <w:right w:w="105" w:type="dxa"/>
            </w:tcMar>
            <w:vAlign w:val="center"/>
          </w:tcPr>
          <w:p w14:paraId="0906058D" w14:textId="77777777" w:rsidR="00FA66E5" w:rsidRDefault="00000000">
            <w:pPr>
              <w:pStyle w:val="TableText"/>
            </w:pPr>
            <w:proofErr w:type="spellStart"/>
            <w:r>
              <w:rPr>
                <w:rFonts w:eastAsia="Arial" w:cs="Arial"/>
                <w:b/>
                <w:color w:val="FFFFFF"/>
              </w:rPr>
              <w:t>Уровень</w:t>
            </w:r>
            <w:proofErr w:type="spellEnd"/>
          </w:p>
        </w:tc>
        <w:tc>
          <w:tcPr>
            <w:tcW w:w="3402" w:type="dxa"/>
            <w:shd w:val="clear" w:color="auto" w:fill="254656"/>
            <w:tcMar>
              <w:top w:w="85" w:type="dxa"/>
              <w:left w:w="105" w:type="dxa"/>
              <w:bottom w:w="85" w:type="dxa"/>
              <w:right w:w="105" w:type="dxa"/>
            </w:tcMar>
            <w:vAlign w:val="center"/>
          </w:tcPr>
          <w:p w14:paraId="470F99C9" w14:textId="77777777" w:rsidR="00FA66E5" w:rsidRDefault="00000000">
            <w:pPr>
              <w:pStyle w:val="TableText"/>
            </w:pPr>
            <w:r>
              <w:rPr>
                <w:rFonts w:eastAsia="Arial" w:cs="Arial"/>
                <w:b/>
                <w:color w:val="FFFFFF"/>
              </w:rPr>
              <w:t>Пример наблюдения</w:t>
            </w:r>
          </w:p>
        </w:tc>
        <w:tc>
          <w:tcPr>
            <w:tcW w:w="3855" w:type="dxa"/>
            <w:shd w:val="clear" w:color="auto" w:fill="254656"/>
            <w:tcMar>
              <w:top w:w="85" w:type="dxa"/>
              <w:left w:w="105" w:type="dxa"/>
              <w:bottom w:w="85" w:type="dxa"/>
              <w:right w:w="105" w:type="dxa"/>
            </w:tcMar>
            <w:vAlign w:val="center"/>
          </w:tcPr>
          <w:p w14:paraId="3C8B8A43" w14:textId="77777777" w:rsidR="00FA66E5" w:rsidRDefault="00000000">
            <w:pPr>
              <w:pStyle w:val="TableText"/>
            </w:pPr>
            <w:r>
              <w:rPr>
                <w:rFonts w:eastAsia="Arial" w:cs="Arial"/>
                <w:b/>
                <w:color w:val="FFFFFF"/>
              </w:rPr>
              <w:t>Допустимый вывод</w:t>
            </w:r>
          </w:p>
        </w:tc>
      </w:tr>
      <w:tr w:rsidR="00FA66E5" w14:paraId="1B174E2C" w14:textId="77777777">
        <w:trPr>
          <w:cantSplit/>
          <w:jc w:val="center"/>
        </w:trPr>
        <w:tc>
          <w:tcPr>
            <w:tcW w:w="2154" w:type="dxa"/>
            <w:shd w:val="clear" w:color="auto" w:fill="F0F5F7"/>
            <w:tcMar>
              <w:top w:w="85" w:type="dxa"/>
              <w:left w:w="105" w:type="dxa"/>
              <w:bottom w:w="85" w:type="dxa"/>
              <w:right w:w="105" w:type="dxa"/>
            </w:tcMar>
            <w:vAlign w:val="center"/>
          </w:tcPr>
          <w:p w14:paraId="5D127FDB" w14:textId="77777777" w:rsidR="00FA66E5" w:rsidRDefault="00000000">
            <w:pPr>
              <w:pStyle w:val="TableText"/>
            </w:pPr>
            <w:r>
              <w:rPr>
                <w:rFonts w:eastAsia="Arial" w:cs="Arial"/>
                <w:color w:val="243B48"/>
              </w:rPr>
              <w:t>Действие</w:t>
            </w:r>
          </w:p>
        </w:tc>
        <w:tc>
          <w:tcPr>
            <w:tcW w:w="3402" w:type="dxa"/>
            <w:shd w:val="clear" w:color="auto" w:fill="F0F5F7"/>
            <w:tcMar>
              <w:top w:w="85" w:type="dxa"/>
              <w:left w:w="105" w:type="dxa"/>
              <w:bottom w:w="85" w:type="dxa"/>
              <w:right w:w="105" w:type="dxa"/>
            </w:tcMar>
            <w:vAlign w:val="center"/>
          </w:tcPr>
          <w:p w14:paraId="29BFD72A" w14:textId="77777777" w:rsidR="00FA66E5" w:rsidRDefault="00000000">
            <w:pPr>
              <w:pStyle w:val="TableText"/>
            </w:pPr>
            <w:r>
              <w:rPr>
                <w:rFonts w:eastAsia="Arial" w:cs="Arial"/>
                <w:color w:val="243B48"/>
              </w:rPr>
              <w:t>Посетитель завершил оплату</w:t>
            </w:r>
          </w:p>
        </w:tc>
        <w:tc>
          <w:tcPr>
            <w:tcW w:w="3855" w:type="dxa"/>
            <w:shd w:val="clear" w:color="auto" w:fill="F0F5F7"/>
            <w:tcMar>
              <w:top w:w="85" w:type="dxa"/>
              <w:left w:w="105" w:type="dxa"/>
              <w:bottom w:w="85" w:type="dxa"/>
              <w:right w:w="105" w:type="dxa"/>
            </w:tcMar>
            <w:vAlign w:val="center"/>
          </w:tcPr>
          <w:p w14:paraId="3FAE4199" w14:textId="77777777" w:rsidR="00FA66E5" w:rsidRDefault="00000000">
            <w:pPr>
              <w:pStyle w:val="TableText"/>
            </w:pPr>
            <w:r>
              <w:rPr>
                <w:rFonts w:eastAsia="Arial" w:cs="Arial"/>
                <w:color w:val="243B48"/>
              </w:rPr>
              <w:t>Покупка зарегистрирована в данных</w:t>
            </w:r>
          </w:p>
        </w:tc>
      </w:tr>
      <w:tr w:rsidR="00FA66E5" w:rsidRPr="004A7E8D" w14:paraId="5ABAE25A" w14:textId="77777777">
        <w:trPr>
          <w:cantSplit/>
          <w:jc w:val="center"/>
        </w:trPr>
        <w:tc>
          <w:tcPr>
            <w:tcW w:w="2154" w:type="dxa"/>
            <w:shd w:val="clear" w:color="auto" w:fill="FFFFFF"/>
            <w:tcMar>
              <w:top w:w="85" w:type="dxa"/>
              <w:left w:w="105" w:type="dxa"/>
              <w:bottom w:w="85" w:type="dxa"/>
              <w:right w:w="105" w:type="dxa"/>
            </w:tcMar>
            <w:vAlign w:val="center"/>
          </w:tcPr>
          <w:p w14:paraId="681E9B50" w14:textId="77777777" w:rsidR="00FA66E5" w:rsidRDefault="00000000">
            <w:pPr>
              <w:pStyle w:val="TableText"/>
            </w:pPr>
            <w:r>
              <w:rPr>
                <w:rFonts w:eastAsia="Arial" w:cs="Arial"/>
                <w:color w:val="243B48"/>
              </w:rPr>
              <w:t>Намерение</w:t>
            </w:r>
          </w:p>
        </w:tc>
        <w:tc>
          <w:tcPr>
            <w:tcW w:w="3402" w:type="dxa"/>
            <w:shd w:val="clear" w:color="auto" w:fill="FFFFFF"/>
            <w:tcMar>
              <w:top w:w="85" w:type="dxa"/>
              <w:left w:w="105" w:type="dxa"/>
              <w:bottom w:w="85" w:type="dxa"/>
              <w:right w:w="105" w:type="dxa"/>
            </w:tcMar>
            <w:vAlign w:val="center"/>
          </w:tcPr>
          <w:p w14:paraId="79394824" w14:textId="77777777" w:rsidR="00FA66E5" w:rsidRDefault="00000000">
            <w:pPr>
              <w:pStyle w:val="TableText"/>
            </w:pPr>
            <w:r>
              <w:rPr>
                <w:rFonts w:eastAsia="Arial" w:cs="Arial"/>
                <w:color w:val="243B48"/>
              </w:rPr>
              <w:t>Участник планирует заказать позже</w:t>
            </w:r>
          </w:p>
        </w:tc>
        <w:tc>
          <w:tcPr>
            <w:tcW w:w="3855" w:type="dxa"/>
            <w:shd w:val="clear" w:color="auto" w:fill="FFFFFF"/>
            <w:tcMar>
              <w:top w:w="85" w:type="dxa"/>
              <w:left w:w="105" w:type="dxa"/>
              <w:bottom w:w="85" w:type="dxa"/>
              <w:right w:w="105" w:type="dxa"/>
            </w:tcMar>
            <w:vAlign w:val="center"/>
          </w:tcPr>
          <w:p w14:paraId="2591857D" w14:textId="77777777" w:rsidR="00FA66E5" w:rsidRPr="004A7E8D" w:rsidRDefault="00000000">
            <w:pPr>
              <w:pStyle w:val="TableText"/>
              <w:rPr>
                <w:lang w:val="ru-RU"/>
              </w:rPr>
            </w:pPr>
            <w:r w:rsidRPr="004A7E8D">
              <w:rPr>
                <w:rFonts w:eastAsia="Arial" w:cs="Arial"/>
                <w:color w:val="243B48"/>
                <w:lang w:val="ru-RU"/>
              </w:rPr>
              <w:t>Высказан план, но покупка не подтверждена</w:t>
            </w:r>
          </w:p>
        </w:tc>
      </w:tr>
      <w:tr w:rsidR="00FA66E5" w:rsidRPr="004A7E8D" w14:paraId="74E249C2" w14:textId="77777777">
        <w:trPr>
          <w:cantSplit/>
          <w:jc w:val="center"/>
        </w:trPr>
        <w:tc>
          <w:tcPr>
            <w:tcW w:w="2154" w:type="dxa"/>
            <w:shd w:val="clear" w:color="auto" w:fill="F0F5F7"/>
            <w:tcMar>
              <w:top w:w="85" w:type="dxa"/>
              <w:left w:w="105" w:type="dxa"/>
              <w:bottom w:w="85" w:type="dxa"/>
              <w:right w:w="105" w:type="dxa"/>
            </w:tcMar>
            <w:vAlign w:val="center"/>
          </w:tcPr>
          <w:p w14:paraId="4E8A7DA5" w14:textId="77777777" w:rsidR="00FA66E5" w:rsidRDefault="00000000">
            <w:pPr>
              <w:pStyle w:val="TableText"/>
            </w:pPr>
            <w:proofErr w:type="spellStart"/>
            <w:r>
              <w:rPr>
                <w:rFonts w:eastAsia="Arial" w:cs="Arial"/>
                <w:color w:val="243B48"/>
              </w:rPr>
              <w:t>Оценка</w:t>
            </w:r>
            <w:proofErr w:type="spellEnd"/>
          </w:p>
        </w:tc>
        <w:tc>
          <w:tcPr>
            <w:tcW w:w="3402" w:type="dxa"/>
            <w:shd w:val="clear" w:color="auto" w:fill="F0F5F7"/>
            <w:tcMar>
              <w:top w:w="85" w:type="dxa"/>
              <w:left w:w="105" w:type="dxa"/>
              <w:bottom w:w="85" w:type="dxa"/>
              <w:right w:w="105" w:type="dxa"/>
            </w:tcMar>
            <w:vAlign w:val="center"/>
          </w:tcPr>
          <w:p w14:paraId="320312CF" w14:textId="77777777" w:rsidR="00FA66E5" w:rsidRDefault="00000000">
            <w:pPr>
              <w:pStyle w:val="TableText"/>
            </w:pPr>
            <w:r>
              <w:rPr>
                <w:rFonts w:eastAsia="Arial" w:cs="Arial"/>
                <w:color w:val="243B48"/>
              </w:rPr>
              <w:t>Участник назвал предложение удобным</w:t>
            </w:r>
          </w:p>
        </w:tc>
        <w:tc>
          <w:tcPr>
            <w:tcW w:w="3855" w:type="dxa"/>
            <w:shd w:val="clear" w:color="auto" w:fill="F0F5F7"/>
            <w:tcMar>
              <w:top w:w="85" w:type="dxa"/>
              <w:left w:w="105" w:type="dxa"/>
              <w:bottom w:w="85" w:type="dxa"/>
              <w:right w:w="105" w:type="dxa"/>
            </w:tcMar>
            <w:vAlign w:val="center"/>
          </w:tcPr>
          <w:p w14:paraId="3AF5704F" w14:textId="77777777" w:rsidR="00FA66E5" w:rsidRPr="004A7E8D" w:rsidRDefault="00000000">
            <w:pPr>
              <w:pStyle w:val="TableText"/>
              <w:rPr>
                <w:lang w:val="ru-RU"/>
              </w:rPr>
            </w:pPr>
            <w:r w:rsidRPr="004A7E8D">
              <w:rPr>
                <w:rFonts w:eastAsia="Arial" w:cs="Arial"/>
                <w:color w:val="243B48"/>
                <w:lang w:val="ru-RU"/>
              </w:rPr>
              <w:t>Выявлено мнение в заданной ситуации</w:t>
            </w:r>
          </w:p>
        </w:tc>
      </w:tr>
      <w:tr w:rsidR="00FA66E5" w:rsidRPr="004A7E8D" w14:paraId="65C9B8F8" w14:textId="77777777">
        <w:trPr>
          <w:cantSplit/>
          <w:jc w:val="center"/>
        </w:trPr>
        <w:tc>
          <w:tcPr>
            <w:tcW w:w="2154" w:type="dxa"/>
            <w:shd w:val="clear" w:color="auto" w:fill="FFFFFF"/>
            <w:tcMar>
              <w:top w:w="85" w:type="dxa"/>
              <w:left w:w="105" w:type="dxa"/>
              <w:bottom w:w="85" w:type="dxa"/>
              <w:right w:w="105" w:type="dxa"/>
            </w:tcMar>
            <w:vAlign w:val="center"/>
          </w:tcPr>
          <w:p w14:paraId="2834871F" w14:textId="77777777" w:rsidR="00FA66E5" w:rsidRDefault="00000000">
            <w:pPr>
              <w:pStyle w:val="TableText"/>
            </w:pPr>
            <w:r>
              <w:rPr>
                <w:rFonts w:eastAsia="Arial" w:cs="Arial"/>
                <w:color w:val="243B48"/>
              </w:rPr>
              <w:t>Объяснение</w:t>
            </w:r>
          </w:p>
        </w:tc>
        <w:tc>
          <w:tcPr>
            <w:tcW w:w="3402" w:type="dxa"/>
            <w:shd w:val="clear" w:color="auto" w:fill="FFFFFF"/>
            <w:tcMar>
              <w:top w:w="85" w:type="dxa"/>
              <w:left w:w="105" w:type="dxa"/>
              <w:bottom w:w="85" w:type="dxa"/>
              <w:right w:w="105" w:type="dxa"/>
            </w:tcMar>
            <w:vAlign w:val="center"/>
          </w:tcPr>
          <w:p w14:paraId="02307C9E" w14:textId="77777777" w:rsidR="00FA66E5" w:rsidRPr="004A7E8D" w:rsidRDefault="00000000">
            <w:pPr>
              <w:pStyle w:val="TableText"/>
              <w:rPr>
                <w:lang w:val="ru-RU"/>
              </w:rPr>
            </w:pPr>
            <w:r w:rsidRPr="004A7E8D">
              <w:rPr>
                <w:rFonts w:eastAsia="Arial" w:cs="Arial"/>
                <w:color w:val="243B48"/>
                <w:lang w:val="ru-RU"/>
              </w:rPr>
              <w:t>Участник сообщил о нехватке времени</w:t>
            </w:r>
          </w:p>
        </w:tc>
        <w:tc>
          <w:tcPr>
            <w:tcW w:w="3855" w:type="dxa"/>
            <w:shd w:val="clear" w:color="auto" w:fill="FFFFFF"/>
            <w:tcMar>
              <w:top w:w="85" w:type="dxa"/>
              <w:left w:w="105" w:type="dxa"/>
              <w:bottom w:w="85" w:type="dxa"/>
              <w:right w:w="105" w:type="dxa"/>
            </w:tcMar>
            <w:vAlign w:val="center"/>
          </w:tcPr>
          <w:p w14:paraId="19297066" w14:textId="77777777" w:rsidR="00FA66E5" w:rsidRPr="004A7E8D" w:rsidRDefault="00000000">
            <w:pPr>
              <w:pStyle w:val="TableText"/>
              <w:rPr>
                <w:lang w:val="ru-RU"/>
              </w:rPr>
            </w:pPr>
            <w:r w:rsidRPr="004A7E8D">
              <w:rPr>
                <w:rFonts w:eastAsia="Arial" w:cs="Arial"/>
                <w:color w:val="243B48"/>
                <w:lang w:val="ru-RU"/>
              </w:rPr>
              <w:t>Получена заявленная причина, требующая контекста</w:t>
            </w:r>
          </w:p>
        </w:tc>
      </w:tr>
    </w:tbl>
    <w:p w14:paraId="06C9F09E" w14:textId="77777777" w:rsidR="00FA66E5" w:rsidRPr="004A7E8D" w:rsidRDefault="00FA66E5">
      <w:pPr>
        <w:spacing w:after="0"/>
        <w:rPr>
          <w:lang w:val="ru-RU"/>
        </w:rPr>
      </w:pPr>
    </w:p>
    <w:p w14:paraId="0C208DCE" w14:textId="77777777" w:rsidR="00FA66E5" w:rsidRPr="004A7E8D" w:rsidRDefault="00000000">
      <w:pPr>
        <w:rPr>
          <w:lang w:val="ru-RU"/>
        </w:rPr>
      </w:pPr>
      <w:r w:rsidRPr="004A7E8D">
        <w:rPr>
          <w:lang w:val="ru-RU"/>
        </w:rPr>
        <w:t>Разделение уровней предотвращает подмену результата. Рост положительных оценок может быть полезен, однако он не тождествен росту использования. Для учебного отчета лучше написать «12 из 20 участников считают описание понятным», чем «60% рынка готовы покупать»: во второй формулировке меняются и предмет, и масштаб вывода.</w:t>
      </w:r>
    </w:p>
    <w:p w14:paraId="3434B73C" w14:textId="77777777" w:rsidR="00FA66E5" w:rsidRPr="004A7E8D" w:rsidRDefault="00000000">
      <w:pPr>
        <w:pStyle w:val="1"/>
        <w:pageBreakBefore/>
        <w:rPr>
          <w:lang w:val="ru-RU"/>
        </w:rPr>
      </w:pPr>
      <w:r w:rsidRPr="004A7E8D">
        <w:rPr>
          <w:lang w:val="ru-RU"/>
        </w:rPr>
        <w:lastRenderedPageBreak/>
        <w:t>2. Участники покупки и контекст обмена</w:t>
      </w:r>
    </w:p>
    <w:p w14:paraId="656637A9" w14:textId="77777777" w:rsidR="00FA66E5" w:rsidRPr="004A7E8D" w:rsidRDefault="00000000">
      <w:pPr>
        <w:rPr>
          <w:lang w:val="ru-RU"/>
        </w:rPr>
      </w:pPr>
      <w:r w:rsidRPr="004A7E8D">
        <w:rPr>
          <w:lang w:val="ru-RU"/>
        </w:rPr>
        <w:t>В бытовой речи слово «клиент» часто объединяет несколько разных ролей. Для анализа полезно разграничить инициатора потребности, участника сравнения, принимающего решение, покупателя, плательщика и пользователя. Один человек может совмещать все роли, но такое совпадение нельзя считать обязательным. Например, при приобретении бытового прибора заказ оформляет один член семьи, платит другой, а пользуются все.</w:t>
      </w:r>
    </w:p>
    <w:p w14:paraId="1D723772" w14:textId="77777777" w:rsidR="00FA66E5" w:rsidRPr="004A7E8D" w:rsidRDefault="00000000">
      <w:pPr>
        <w:rPr>
          <w:lang w:val="ru-RU"/>
        </w:rPr>
      </w:pPr>
      <w:r w:rsidRPr="004A7E8D">
        <w:rPr>
          <w:lang w:val="ru-RU"/>
        </w:rPr>
        <w:t>Роли позволяют установить, кому нужна конкретная информация. Плательщика может интересовать полная стоимость, пользователя — удобство, а человека, отвечающего за обслуживание, — расходные материалы. Это не универсальное распределение мотивов, а вопросы для проверки. Нельзя заранее утверждать, что один участник «всегда выбирает эмоционально», а другой «только рационально».</w:t>
      </w:r>
    </w:p>
    <w:p w14:paraId="41C5DD37" w14:textId="77777777" w:rsidR="00FA66E5" w:rsidRPr="004A7E8D" w:rsidRDefault="00000000">
      <w:pPr>
        <w:pStyle w:val="21"/>
        <w:rPr>
          <w:lang w:val="ru-RU"/>
        </w:rPr>
      </w:pPr>
      <w:r w:rsidRPr="004A7E8D">
        <w:rPr>
          <w:lang w:val="ru-RU"/>
        </w:rPr>
        <w:t>Потребительский и организационный рынок</w:t>
      </w:r>
    </w:p>
    <w:p w14:paraId="5EC467C9" w14:textId="77777777" w:rsidR="00FA66E5" w:rsidRPr="004A7E8D" w:rsidRDefault="00000000">
      <w:pPr>
        <w:rPr>
          <w:lang w:val="ru-RU"/>
        </w:rPr>
      </w:pPr>
      <w:r w:rsidRPr="004A7E8D">
        <w:rPr>
          <w:lang w:val="ru-RU"/>
        </w:rPr>
        <w:t xml:space="preserve">Основное внимание курса уделяется рынку для личного и семейного потребления — </w:t>
      </w:r>
      <w:r>
        <w:t>B</w:t>
      </w:r>
      <w:r w:rsidRPr="004A7E8D">
        <w:rPr>
          <w:lang w:val="ru-RU"/>
        </w:rPr>
        <w:t>2</w:t>
      </w:r>
      <w:r>
        <w:t>C</w:t>
      </w:r>
      <w:r w:rsidRPr="004A7E8D">
        <w:rPr>
          <w:lang w:val="ru-RU"/>
        </w:rPr>
        <w:t xml:space="preserve">. В организационных закупках, или </w:t>
      </w:r>
      <w:r>
        <w:t>B</w:t>
      </w:r>
      <w:r w:rsidRPr="004A7E8D">
        <w:rPr>
          <w:lang w:val="ru-RU"/>
        </w:rPr>
        <w:t>2</w:t>
      </w:r>
      <w:r>
        <w:t>B</w:t>
      </w:r>
      <w:r w:rsidRPr="004A7E8D">
        <w:rPr>
          <w:lang w:val="ru-RU"/>
        </w:rPr>
        <w:t xml:space="preserve">, решения связаны с задачами организации и могут включать формальные процедуры, согласования и несколько ответственных. Однако механически противопоставлять «эмоциональный </w:t>
      </w:r>
      <w:r>
        <w:t>B</w:t>
      </w:r>
      <w:r w:rsidRPr="004A7E8D">
        <w:rPr>
          <w:lang w:val="ru-RU"/>
        </w:rPr>
        <w:t>2</w:t>
      </w:r>
      <w:r>
        <w:t>C</w:t>
      </w:r>
      <w:r w:rsidRPr="004A7E8D">
        <w:rPr>
          <w:lang w:val="ru-RU"/>
        </w:rPr>
        <w:t xml:space="preserve">» и «рациональный </w:t>
      </w:r>
      <w:r>
        <w:t>B</w:t>
      </w:r>
      <w:r w:rsidRPr="004A7E8D">
        <w:rPr>
          <w:lang w:val="ru-RU"/>
        </w:rPr>
        <w:t>2</w:t>
      </w:r>
      <w:r>
        <w:t>B</w:t>
      </w:r>
      <w:r w:rsidRPr="004A7E8D">
        <w:rPr>
          <w:lang w:val="ru-RU"/>
        </w:rPr>
        <w:t>» неправильно: и там и там действуют люди, ограничения, знания, ожидания и отношения.</w:t>
      </w:r>
    </w:p>
    <w:p w14:paraId="2FCE7DEF" w14:textId="77777777" w:rsidR="00FA66E5" w:rsidRPr="004A7E8D" w:rsidRDefault="00000000">
      <w:pPr>
        <w:rPr>
          <w:lang w:val="ru-RU"/>
        </w:rPr>
      </w:pPr>
      <w:r w:rsidRPr="004A7E8D">
        <w:rPr>
          <w:lang w:val="ru-RU"/>
        </w:rPr>
        <w:t>При изучении покупки важно описать не только товар, но и обстоятельства: срочность, доступные каналы, бюджет, предыдущий опыт, возможность сравнения и риск ошибки. Покупка зарядного устройства в поездке и плановая покупка дома отличаются прежде всего ситуацией. Один и тот же человек может принимать разные решения без изменения своих базовых ценностей.</w:t>
      </w:r>
    </w:p>
    <w:p w14:paraId="1FC21397" w14:textId="77777777" w:rsidR="00FA66E5" w:rsidRPr="004A7E8D" w:rsidRDefault="00000000">
      <w:pPr>
        <w:pStyle w:val="21"/>
        <w:rPr>
          <w:lang w:val="ru-RU"/>
        </w:rPr>
      </w:pPr>
      <w:r w:rsidRPr="004A7E8D">
        <w:rPr>
          <w:lang w:val="ru-RU"/>
        </w:rPr>
        <w:t>Карта участников</w:t>
      </w:r>
    </w:p>
    <w:p w14:paraId="7376528E" w14:textId="77777777" w:rsidR="00FA66E5" w:rsidRPr="004A7E8D" w:rsidRDefault="00000000">
      <w:pPr>
        <w:rPr>
          <w:lang w:val="ru-RU"/>
        </w:rPr>
      </w:pPr>
      <w:r w:rsidRPr="004A7E8D">
        <w:rPr>
          <w:lang w:val="ru-RU"/>
        </w:rPr>
        <w:t>Для практического анализа составляют простую карту: кто испытывает затруднение; кто ищет варианты; кто вправе согласовать расходы; кто будет пользоваться; кто оценивает результат. Затем указывают возможные расхождения интересов. Например, компактная упаковка удобна для переноски, но крупная может давать меньшую цену за единицу. Решение становится компромиссом, а не поиском единственного «правильного» признака.</w:t>
      </w:r>
    </w:p>
    <w:p w14:paraId="1D4A1576" w14:textId="77777777" w:rsidR="00FA66E5" w:rsidRPr="004A7E8D" w:rsidRDefault="00000000">
      <w:pPr>
        <w:rPr>
          <w:lang w:val="ru-RU"/>
        </w:rPr>
      </w:pPr>
      <w:r w:rsidRPr="004A7E8D">
        <w:rPr>
          <w:lang w:val="ru-RU"/>
        </w:rPr>
        <w:t>Карта участников помогает не направлять все сообщения только тому, кто оформляет заказ. Но она не дает права обходить остальных участников, скрывать существенные условия или использовать частные семейные разногласия. Ее назначение — сделать предложение понятнее для людей, которых действительно касается выбор.</w:t>
      </w:r>
    </w:p>
    <w:p w14:paraId="3E261DB8" w14:textId="77777777" w:rsidR="00FA66E5" w:rsidRPr="004A7E8D" w:rsidRDefault="00000000">
      <w:pPr>
        <w:pStyle w:val="1"/>
        <w:pageBreakBefore/>
        <w:rPr>
          <w:lang w:val="ru-RU"/>
        </w:rPr>
      </w:pPr>
      <w:r w:rsidRPr="004A7E8D">
        <w:rPr>
          <w:lang w:val="ru-RU"/>
        </w:rPr>
        <w:lastRenderedPageBreak/>
        <w:t>3. Объясняющие модели: от схемы к гипотезе</w:t>
      </w:r>
    </w:p>
    <w:p w14:paraId="574EEB1E" w14:textId="77777777" w:rsidR="00FA66E5" w:rsidRPr="004A7E8D" w:rsidRDefault="00000000">
      <w:pPr>
        <w:rPr>
          <w:lang w:val="ru-RU"/>
        </w:rPr>
      </w:pPr>
      <w:r w:rsidRPr="004A7E8D">
        <w:rPr>
          <w:lang w:val="ru-RU"/>
        </w:rPr>
        <w:t xml:space="preserve">Модель упрощает реальность и помогает выбрать, что наблюдать. В учебном анализе удобно соединить четыре элемента: </w:t>
      </w:r>
      <w:r w:rsidRPr="004A7E8D">
        <w:rPr>
          <w:b/>
          <w:lang w:val="ru-RU"/>
        </w:rPr>
        <w:t>внешние условия — интерпретация ситуации — доступные действия — результат и обратная связь</w:t>
      </w:r>
      <w:r w:rsidRPr="004A7E8D">
        <w:rPr>
          <w:lang w:val="ru-RU"/>
        </w:rPr>
        <w:t>. Например, условие «доставка только днем» может восприниматься как несовместимое с рабочим графиком, поэтому потребитель выбирает самовывоз или другого продавца. Здесь важен не сам текст условия, а его отношение к задаче человека.</w:t>
      </w:r>
    </w:p>
    <w:p w14:paraId="099EBE7C" w14:textId="77777777" w:rsidR="00FA66E5" w:rsidRPr="004A7E8D" w:rsidRDefault="00000000">
      <w:pPr>
        <w:rPr>
          <w:lang w:val="ru-RU"/>
        </w:rPr>
      </w:pPr>
      <w:r w:rsidRPr="004A7E8D">
        <w:rPr>
          <w:lang w:val="ru-RU"/>
        </w:rPr>
        <w:t>Экономический взгляд обращает внимание на ограничения бюджета, альтернативные издержки и сопоставление выгод. Психологический — на мотивы, знания, восприятие, эмоции и обучение. Социальный — на нормы, роли и взаимодействие с другими. Ситуационный — на время, доступность и особенности конкретного эпизода. Эти перспективы дополняют друг друга: экономическая причина не исключает психологического механизма, а социальная норма не отменяет ограничения ресурсов.</w:t>
      </w:r>
    </w:p>
    <w:p w14:paraId="29FE53B2" w14:textId="77777777" w:rsidR="00FA66E5" w:rsidRPr="004A7E8D" w:rsidRDefault="00000000">
      <w:pPr>
        <w:pStyle w:val="21"/>
        <w:rPr>
          <w:lang w:val="ru-RU"/>
        </w:rPr>
      </w:pPr>
      <w:r w:rsidRPr="004A7E8D">
        <w:rPr>
          <w:lang w:val="ru-RU"/>
        </w:rPr>
        <w:t>Наблюдение не равно объяснению</w:t>
      </w:r>
    </w:p>
    <w:p w14:paraId="1CDD936E" w14:textId="77777777" w:rsidR="00FA66E5" w:rsidRPr="004A7E8D" w:rsidRDefault="00000000">
      <w:pPr>
        <w:rPr>
          <w:lang w:val="ru-RU"/>
        </w:rPr>
      </w:pPr>
      <w:r w:rsidRPr="004A7E8D">
        <w:rPr>
          <w:lang w:val="ru-RU"/>
        </w:rPr>
        <w:t>Предположим, после изменения упаковки продажи выросли. Возможны несколько объяснений: упаковка стала заметнее; изменилась выкладка; началась реклама; вырос спрос на категорию; появился товар, которого раньше не было в наличии. Чтобы выделить роль упаковки, необходимо знать, что происходило одновременно. Простое сравнение двух месяцев показывает изменение, но не всегда устанавливает его причину.</w:t>
      </w:r>
    </w:p>
    <w:p w14:paraId="7B6DAC8A" w14:textId="77777777" w:rsidR="00FA66E5" w:rsidRPr="004A7E8D" w:rsidRDefault="00000000">
      <w:pPr>
        <w:rPr>
          <w:lang w:val="ru-RU"/>
        </w:rPr>
      </w:pPr>
      <w:r w:rsidRPr="004A7E8D">
        <w:rPr>
          <w:lang w:val="ru-RU"/>
        </w:rPr>
        <w:t>Гипотеза формулируется как предполагаемая связь с условиями проверки: «Если покупатели не различают варианты по объему, ясное обозначение объема должно уменьшить ошибки выбора при одинаковой цене и выкладке». В ней названы проблема, механизм, действие и ожидаемое наблюдение. Формулировка «красивый дизайн увеличит продажи» слишком неопределенна: непонятно, что считать красивым и через какой процесс ожидается эффект.</w:t>
      </w:r>
    </w:p>
    <w:p w14:paraId="39811235" w14:textId="77777777" w:rsidR="00FA66E5" w:rsidRPr="004A7E8D" w:rsidRDefault="00000000">
      <w:pPr>
        <w:pStyle w:val="21"/>
        <w:rPr>
          <w:lang w:val="ru-RU"/>
        </w:rPr>
      </w:pPr>
      <w:r w:rsidRPr="004A7E8D">
        <w:rPr>
          <w:lang w:val="ru-RU"/>
        </w:rPr>
        <w:t>Обратная связь</w:t>
      </w:r>
    </w:p>
    <w:p w14:paraId="27A460A2" w14:textId="77777777" w:rsidR="00FA66E5" w:rsidRPr="004A7E8D" w:rsidRDefault="00000000">
      <w:pPr>
        <w:rPr>
          <w:lang w:val="ru-RU"/>
        </w:rPr>
      </w:pPr>
      <w:r w:rsidRPr="004A7E8D">
        <w:rPr>
          <w:lang w:val="ru-RU"/>
        </w:rPr>
        <w:t>Опыт использования изменяет последующие ожидания. Человек может перестать читать подробное описание знакомого товара или, наоборот, начать внимательнее проверять условия после неудачного заказа. Поэтому поведение следует изучать во времени. Первое приобретение, повторная покупка и возвращение после длительного перерыва — разные исследовательские ситуации.</w:t>
      </w:r>
    </w:p>
    <w:p w14:paraId="681BF779" w14:textId="77777777" w:rsidR="00FA66E5" w:rsidRPr="004A7E8D" w:rsidRDefault="00000000">
      <w:pPr>
        <w:rPr>
          <w:lang w:val="ru-RU"/>
        </w:rPr>
      </w:pPr>
      <w:r w:rsidRPr="004A7E8D">
        <w:rPr>
          <w:lang w:val="ru-RU"/>
        </w:rPr>
        <w:t>Модель оценивается по полезности для решения и возможности проверки. Хорошая схема не обязана объяснять весь рынок; достаточно, чтобы она помогала обнаружить конкретную причину, выбрать действие и честно обозначить то, что осталось неизвестным.</w:t>
      </w:r>
    </w:p>
    <w:p w14:paraId="13F1C7E2" w14:textId="77777777" w:rsidR="00FA66E5" w:rsidRPr="004A7E8D" w:rsidRDefault="00000000">
      <w:pPr>
        <w:pStyle w:val="1"/>
        <w:pageBreakBefore/>
        <w:rPr>
          <w:lang w:val="ru-RU"/>
        </w:rPr>
      </w:pPr>
      <w:r w:rsidRPr="004A7E8D">
        <w:rPr>
          <w:lang w:val="ru-RU"/>
        </w:rPr>
        <w:lastRenderedPageBreak/>
        <w:t>4. Маркетинговые инструменты как изменение условий выбора</w:t>
      </w:r>
    </w:p>
    <w:p w14:paraId="3D8DE44C" w14:textId="77777777" w:rsidR="00FA66E5" w:rsidRPr="004A7E8D" w:rsidRDefault="00000000">
      <w:pPr>
        <w:rPr>
          <w:lang w:val="ru-RU"/>
        </w:rPr>
      </w:pPr>
      <w:r w:rsidRPr="004A7E8D">
        <w:rPr>
          <w:lang w:val="ru-RU"/>
        </w:rPr>
        <w:t>Классический комплекс маркетинга объединяет продукт, цену, распределение и продвижение [2]. Для нашего курса это не список независимых способов «надавить» на потребителя, а четыре направления изменения его опыта. Продукт определяет, какую задачу можно решить; цена — какие денежные затраты необходимы; распределение — где и когда предложение доступно; коммуникация — как человек узнает и понимает существенные условия.</w:t>
      </w:r>
    </w:p>
    <w:p w14:paraId="077BFE1F" w14:textId="77777777" w:rsidR="00FA66E5" w:rsidRPr="004A7E8D" w:rsidRDefault="00000000">
      <w:pPr>
        <w:rPr>
          <w:lang w:val="ru-RU"/>
        </w:rPr>
      </w:pPr>
      <w:r w:rsidRPr="004A7E8D">
        <w:rPr>
          <w:lang w:val="ru-RU"/>
        </w:rPr>
        <w:t>Инструмент выбирают после диагностики. Если покупатель не уверен в совместимости товара, полезнее понятная таблица совместимости, чем увеличение скидки. Если нужный вариант отсутствует, рекламный охват не решает проблему наличия. Если предложение объективно не подходит аудитории, правильным результатом может стать отказ от покупки, а не ее любой ценой ускоренное оформление.</w:t>
      </w:r>
    </w:p>
    <w:tbl>
      <w:tblPr>
        <w:tblW w:w="0" w:type="auto"/>
        <w:jc w:val="center"/>
        <w:tblLayout w:type="fixed"/>
        <w:tblLook w:val="04A0" w:firstRow="1" w:lastRow="0" w:firstColumn="1" w:lastColumn="0" w:noHBand="0" w:noVBand="1"/>
      </w:tblPr>
      <w:tblGrid>
        <w:gridCol w:w="2154"/>
        <w:gridCol w:w="3402"/>
        <w:gridCol w:w="3855"/>
      </w:tblGrid>
      <w:tr w:rsidR="00FA66E5" w14:paraId="296AC589" w14:textId="77777777">
        <w:trPr>
          <w:cantSplit/>
          <w:tblHeader/>
          <w:jc w:val="center"/>
        </w:trPr>
        <w:tc>
          <w:tcPr>
            <w:tcW w:w="2154" w:type="dxa"/>
            <w:shd w:val="clear" w:color="auto" w:fill="254656"/>
            <w:tcMar>
              <w:top w:w="85" w:type="dxa"/>
              <w:left w:w="105" w:type="dxa"/>
              <w:bottom w:w="85" w:type="dxa"/>
              <w:right w:w="105" w:type="dxa"/>
            </w:tcMar>
            <w:vAlign w:val="center"/>
          </w:tcPr>
          <w:p w14:paraId="3AD09BD1" w14:textId="77777777" w:rsidR="00FA66E5" w:rsidRDefault="00000000">
            <w:pPr>
              <w:pStyle w:val="TableText"/>
            </w:pPr>
            <w:proofErr w:type="spellStart"/>
            <w:r>
              <w:rPr>
                <w:rFonts w:eastAsia="Arial" w:cs="Arial"/>
                <w:b/>
                <w:color w:val="FFFFFF"/>
              </w:rPr>
              <w:t>Выявленное</w:t>
            </w:r>
            <w:proofErr w:type="spellEnd"/>
            <w:r>
              <w:rPr>
                <w:rFonts w:eastAsia="Arial" w:cs="Arial"/>
                <w:b/>
                <w:color w:val="FFFFFF"/>
              </w:rPr>
              <w:t xml:space="preserve"> </w:t>
            </w:r>
            <w:proofErr w:type="spellStart"/>
            <w:r>
              <w:rPr>
                <w:rFonts w:eastAsia="Arial" w:cs="Arial"/>
                <w:b/>
                <w:color w:val="FFFFFF"/>
              </w:rPr>
              <w:t>затруднение</w:t>
            </w:r>
            <w:proofErr w:type="spellEnd"/>
          </w:p>
        </w:tc>
        <w:tc>
          <w:tcPr>
            <w:tcW w:w="3402" w:type="dxa"/>
            <w:shd w:val="clear" w:color="auto" w:fill="254656"/>
            <w:tcMar>
              <w:top w:w="85" w:type="dxa"/>
              <w:left w:w="105" w:type="dxa"/>
              <w:bottom w:w="85" w:type="dxa"/>
              <w:right w:w="105" w:type="dxa"/>
            </w:tcMar>
            <w:vAlign w:val="center"/>
          </w:tcPr>
          <w:p w14:paraId="6FF66F60" w14:textId="77777777" w:rsidR="00FA66E5" w:rsidRDefault="00000000">
            <w:pPr>
              <w:pStyle w:val="TableText"/>
            </w:pPr>
            <w:r>
              <w:rPr>
                <w:rFonts w:eastAsia="Arial" w:cs="Arial"/>
                <w:b/>
                <w:color w:val="FFFFFF"/>
              </w:rPr>
              <w:t>Возможное изменение</w:t>
            </w:r>
          </w:p>
        </w:tc>
        <w:tc>
          <w:tcPr>
            <w:tcW w:w="3855" w:type="dxa"/>
            <w:shd w:val="clear" w:color="auto" w:fill="254656"/>
            <w:tcMar>
              <w:top w:w="85" w:type="dxa"/>
              <w:left w:w="105" w:type="dxa"/>
              <w:bottom w:w="85" w:type="dxa"/>
              <w:right w:w="105" w:type="dxa"/>
            </w:tcMar>
            <w:vAlign w:val="center"/>
          </w:tcPr>
          <w:p w14:paraId="5C1B9688" w14:textId="77777777" w:rsidR="00FA66E5" w:rsidRDefault="00000000">
            <w:pPr>
              <w:pStyle w:val="TableText"/>
            </w:pPr>
            <w:r>
              <w:rPr>
                <w:rFonts w:eastAsia="Arial" w:cs="Arial"/>
                <w:b/>
                <w:color w:val="FFFFFF"/>
              </w:rPr>
              <w:t>Что проверять</w:t>
            </w:r>
          </w:p>
        </w:tc>
      </w:tr>
      <w:tr w:rsidR="00FA66E5" w:rsidRPr="004A7E8D" w14:paraId="4F67EB08" w14:textId="77777777">
        <w:trPr>
          <w:cantSplit/>
          <w:jc w:val="center"/>
        </w:trPr>
        <w:tc>
          <w:tcPr>
            <w:tcW w:w="2154" w:type="dxa"/>
            <w:shd w:val="clear" w:color="auto" w:fill="F0F5F7"/>
            <w:tcMar>
              <w:top w:w="85" w:type="dxa"/>
              <w:left w:w="105" w:type="dxa"/>
              <w:bottom w:w="85" w:type="dxa"/>
              <w:right w:w="105" w:type="dxa"/>
            </w:tcMar>
            <w:vAlign w:val="center"/>
          </w:tcPr>
          <w:p w14:paraId="0028E25A" w14:textId="77777777" w:rsidR="00FA66E5" w:rsidRDefault="00000000">
            <w:pPr>
              <w:pStyle w:val="TableText"/>
            </w:pPr>
            <w:r>
              <w:rPr>
                <w:rFonts w:eastAsia="Arial" w:cs="Arial"/>
                <w:color w:val="243B48"/>
              </w:rPr>
              <w:t>Неясен состав комплекта</w:t>
            </w:r>
          </w:p>
        </w:tc>
        <w:tc>
          <w:tcPr>
            <w:tcW w:w="3402" w:type="dxa"/>
            <w:shd w:val="clear" w:color="auto" w:fill="F0F5F7"/>
            <w:tcMar>
              <w:top w:w="85" w:type="dxa"/>
              <w:left w:w="105" w:type="dxa"/>
              <w:bottom w:w="85" w:type="dxa"/>
              <w:right w:w="105" w:type="dxa"/>
            </w:tcMar>
            <w:vAlign w:val="center"/>
          </w:tcPr>
          <w:p w14:paraId="3B805868" w14:textId="77777777" w:rsidR="00FA66E5" w:rsidRDefault="00000000">
            <w:pPr>
              <w:pStyle w:val="TableText"/>
            </w:pPr>
            <w:r>
              <w:rPr>
                <w:rFonts w:eastAsia="Arial" w:cs="Arial"/>
                <w:color w:val="243B48"/>
              </w:rPr>
              <w:t>Уточнить описание и изображение</w:t>
            </w:r>
          </w:p>
        </w:tc>
        <w:tc>
          <w:tcPr>
            <w:tcW w:w="3855" w:type="dxa"/>
            <w:shd w:val="clear" w:color="auto" w:fill="F0F5F7"/>
            <w:tcMar>
              <w:top w:w="85" w:type="dxa"/>
              <w:left w:w="105" w:type="dxa"/>
              <w:bottom w:w="85" w:type="dxa"/>
              <w:right w:w="105" w:type="dxa"/>
            </w:tcMar>
            <w:vAlign w:val="center"/>
          </w:tcPr>
          <w:p w14:paraId="45CC7316" w14:textId="77777777" w:rsidR="00FA66E5" w:rsidRPr="004A7E8D" w:rsidRDefault="00000000">
            <w:pPr>
              <w:pStyle w:val="TableText"/>
              <w:rPr>
                <w:lang w:val="ru-RU"/>
              </w:rPr>
            </w:pPr>
            <w:r w:rsidRPr="004A7E8D">
              <w:rPr>
                <w:rFonts w:eastAsia="Arial" w:cs="Arial"/>
                <w:color w:val="243B48"/>
                <w:lang w:val="ru-RU"/>
              </w:rPr>
              <w:t>Правильно ли участники называют состав</w:t>
            </w:r>
          </w:p>
        </w:tc>
      </w:tr>
      <w:tr w:rsidR="00FA66E5" w:rsidRPr="004A7E8D" w14:paraId="22822ABD" w14:textId="77777777">
        <w:trPr>
          <w:cantSplit/>
          <w:jc w:val="center"/>
        </w:trPr>
        <w:tc>
          <w:tcPr>
            <w:tcW w:w="2154" w:type="dxa"/>
            <w:shd w:val="clear" w:color="auto" w:fill="FFFFFF"/>
            <w:tcMar>
              <w:top w:w="85" w:type="dxa"/>
              <w:left w:w="105" w:type="dxa"/>
              <w:bottom w:w="85" w:type="dxa"/>
              <w:right w:w="105" w:type="dxa"/>
            </w:tcMar>
            <w:vAlign w:val="center"/>
          </w:tcPr>
          <w:p w14:paraId="60B07C27" w14:textId="77777777" w:rsidR="00FA66E5" w:rsidRDefault="00000000">
            <w:pPr>
              <w:pStyle w:val="TableText"/>
            </w:pPr>
            <w:proofErr w:type="spellStart"/>
            <w:r>
              <w:rPr>
                <w:rFonts w:eastAsia="Arial" w:cs="Arial"/>
                <w:color w:val="243B48"/>
              </w:rPr>
              <w:t>Неудобен</w:t>
            </w:r>
            <w:proofErr w:type="spellEnd"/>
            <w:r>
              <w:rPr>
                <w:rFonts w:eastAsia="Arial" w:cs="Arial"/>
                <w:color w:val="243B48"/>
              </w:rPr>
              <w:t xml:space="preserve"> </w:t>
            </w:r>
            <w:proofErr w:type="spellStart"/>
            <w:r>
              <w:rPr>
                <w:rFonts w:eastAsia="Arial" w:cs="Arial"/>
                <w:color w:val="243B48"/>
              </w:rPr>
              <w:t>способ</w:t>
            </w:r>
            <w:proofErr w:type="spellEnd"/>
            <w:r>
              <w:rPr>
                <w:rFonts w:eastAsia="Arial" w:cs="Arial"/>
                <w:color w:val="243B48"/>
              </w:rPr>
              <w:t xml:space="preserve"> </w:t>
            </w:r>
            <w:proofErr w:type="spellStart"/>
            <w:r>
              <w:rPr>
                <w:rFonts w:eastAsia="Arial" w:cs="Arial"/>
                <w:color w:val="243B48"/>
              </w:rPr>
              <w:t>получения</w:t>
            </w:r>
            <w:proofErr w:type="spellEnd"/>
          </w:p>
        </w:tc>
        <w:tc>
          <w:tcPr>
            <w:tcW w:w="3402" w:type="dxa"/>
            <w:shd w:val="clear" w:color="auto" w:fill="FFFFFF"/>
            <w:tcMar>
              <w:top w:w="85" w:type="dxa"/>
              <w:left w:w="105" w:type="dxa"/>
              <w:bottom w:w="85" w:type="dxa"/>
              <w:right w:w="105" w:type="dxa"/>
            </w:tcMar>
            <w:vAlign w:val="center"/>
          </w:tcPr>
          <w:p w14:paraId="6D97D3BC" w14:textId="77777777" w:rsidR="00FA66E5" w:rsidRDefault="00000000">
            <w:pPr>
              <w:pStyle w:val="TableText"/>
            </w:pPr>
            <w:r>
              <w:rPr>
                <w:rFonts w:eastAsia="Arial" w:cs="Arial"/>
                <w:color w:val="243B48"/>
              </w:rPr>
              <w:t>Добавить доступный вариант выдачи</w:t>
            </w:r>
          </w:p>
        </w:tc>
        <w:tc>
          <w:tcPr>
            <w:tcW w:w="3855" w:type="dxa"/>
            <w:shd w:val="clear" w:color="auto" w:fill="FFFFFF"/>
            <w:tcMar>
              <w:top w:w="85" w:type="dxa"/>
              <w:left w:w="105" w:type="dxa"/>
              <w:bottom w:w="85" w:type="dxa"/>
              <w:right w:w="105" w:type="dxa"/>
            </w:tcMar>
            <w:vAlign w:val="center"/>
          </w:tcPr>
          <w:p w14:paraId="74A2BEE4" w14:textId="77777777" w:rsidR="00FA66E5" w:rsidRPr="004A7E8D" w:rsidRDefault="00000000">
            <w:pPr>
              <w:pStyle w:val="TableText"/>
              <w:rPr>
                <w:lang w:val="ru-RU"/>
              </w:rPr>
            </w:pPr>
            <w:r w:rsidRPr="004A7E8D">
              <w:rPr>
                <w:rFonts w:eastAsia="Arial" w:cs="Arial"/>
                <w:color w:val="243B48"/>
                <w:lang w:val="ru-RU"/>
              </w:rPr>
              <w:t>Завершают ли подходящие клиенты получение</w:t>
            </w:r>
          </w:p>
        </w:tc>
      </w:tr>
      <w:tr w:rsidR="00FA66E5" w:rsidRPr="004A7E8D" w14:paraId="69E3F32D" w14:textId="77777777">
        <w:trPr>
          <w:cantSplit/>
          <w:jc w:val="center"/>
        </w:trPr>
        <w:tc>
          <w:tcPr>
            <w:tcW w:w="2154" w:type="dxa"/>
            <w:shd w:val="clear" w:color="auto" w:fill="F0F5F7"/>
            <w:tcMar>
              <w:top w:w="85" w:type="dxa"/>
              <w:left w:w="105" w:type="dxa"/>
              <w:bottom w:w="85" w:type="dxa"/>
              <w:right w:w="105" w:type="dxa"/>
            </w:tcMar>
            <w:vAlign w:val="center"/>
          </w:tcPr>
          <w:p w14:paraId="76AE5C83" w14:textId="77777777" w:rsidR="00FA66E5" w:rsidRDefault="00000000">
            <w:pPr>
              <w:pStyle w:val="TableText"/>
            </w:pPr>
            <w:proofErr w:type="spellStart"/>
            <w:r>
              <w:rPr>
                <w:rFonts w:eastAsia="Arial" w:cs="Arial"/>
                <w:color w:val="243B48"/>
              </w:rPr>
              <w:t>Непонятна</w:t>
            </w:r>
            <w:proofErr w:type="spellEnd"/>
            <w:r>
              <w:rPr>
                <w:rFonts w:eastAsia="Arial" w:cs="Arial"/>
                <w:color w:val="243B48"/>
              </w:rPr>
              <w:t xml:space="preserve"> </w:t>
            </w:r>
            <w:proofErr w:type="spellStart"/>
            <w:r>
              <w:rPr>
                <w:rFonts w:eastAsia="Arial" w:cs="Arial"/>
                <w:color w:val="243B48"/>
              </w:rPr>
              <w:t>полная</w:t>
            </w:r>
            <w:proofErr w:type="spellEnd"/>
            <w:r>
              <w:rPr>
                <w:rFonts w:eastAsia="Arial" w:cs="Arial"/>
                <w:color w:val="243B48"/>
              </w:rPr>
              <w:t xml:space="preserve"> </w:t>
            </w:r>
            <w:proofErr w:type="spellStart"/>
            <w:r>
              <w:rPr>
                <w:rFonts w:eastAsia="Arial" w:cs="Arial"/>
                <w:color w:val="243B48"/>
              </w:rPr>
              <w:t>стоимость</w:t>
            </w:r>
            <w:proofErr w:type="spellEnd"/>
          </w:p>
        </w:tc>
        <w:tc>
          <w:tcPr>
            <w:tcW w:w="3402" w:type="dxa"/>
            <w:shd w:val="clear" w:color="auto" w:fill="F0F5F7"/>
            <w:tcMar>
              <w:top w:w="85" w:type="dxa"/>
              <w:left w:w="105" w:type="dxa"/>
              <w:bottom w:w="85" w:type="dxa"/>
              <w:right w:w="105" w:type="dxa"/>
            </w:tcMar>
            <w:vAlign w:val="center"/>
          </w:tcPr>
          <w:p w14:paraId="1A201536" w14:textId="77777777" w:rsidR="00FA66E5" w:rsidRDefault="00000000">
            <w:pPr>
              <w:pStyle w:val="TableText"/>
            </w:pPr>
            <w:r>
              <w:rPr>
                <w:rFonts w:eastAsia="Arial" w:cs="Arial"/>
                <w:color w:val="243B48"/>
              </w:rPr>
              <w:t>Показать обязательные платежи заранее</w:t>
            </w:r>
          </w:p>
        </w:tc>
        <w:tc>
          <w:tcPr>
            <w:tcW w:w="3855" w:type="dxa"/>
            <w:shd w:val="clear" w:color="auto" w:fill="F0F5F7"/>
            <w:tcMar>
              <w:top w:w="85" w:type="dxa"/>
              <w:left w:w="105" w:type="dxa"/>
              <w:bottom w:w="85" w:type="dxa"/>
              <w:right w:w="105" w:type="dxa"/>
            </w:tcMar>
            <w:vAlign w:val="center"/>
          </w:tcPr>
          <w:p w14:paraId="5BDA89C3" w14:textId="77777777" w:rsidR="00FA66E5" w:rsidRPr="004A7E8D" w:rsidRDefault="00000000">
            <w:pPr>
              <w:pStyle w:val="TableText"/>
              <w:rPr>
                <w:lang w:val="ru-RU"/>
              </w:rPr>
            </w:pPr>
            <w:r w:rsidRPr="004A7E8D">
              <w:rPr>
                <w:rFonts w:eastAsia="Arial" w:cs="Arial"/>
                <w:color w:val="243B48"/>
                <w:lang w:val="ru-RU"/>
              </w:rPr>
              <w:t>Меньше ли ошибок в понимании цены</w:t>
            </w:r>
          </w:p>
        </w:tc>
      </w:tr>
      <w:tr w:rsidR="00FA66E5" w:rsidRPr="004A7E8D" w14:paraId="5C73262C" w14:textId="77777777">
        <w:trPr>
          <w:cantSplit/>
          <w:jc w:val="center"/>
        </w:trPr>
        <w:tc>
          <w:tcPr>
            <w:tcW w:w="2154" w:type="dxa"/>
            <w:shd w:val="clear" w:color="auto" w:fill="FFFFFF"/>
            <w:tcMar>
              <w:top w:w="85" w:type="dxa"/>
              <w:left w:w="105" w:type="dxa"/>
              <w:bottom w:w="85" w:type="dxa"/>
              <w:right w:w="105" w:type="dxa"/>
            </w:tcMar>
            <w:vAlign w:val="center"/>
          </w:tcPr>
          <w:p w14:paraId="68F4F06B" w14:textId="77777777" w:rsidR="00FA66E5" w:rsidRPr="004A7E8D" w:rsidRDefault="00000000">
            <w:pPr>
              <w:pStyle w:val="TableText"/>
              <w:rPr>
                <w:lang w:val="ru-RU"/>
              </w:rPr>
            </w:pPr>
            <w:r w:rsidRPr="004A7E8D">
              <w:rPr>
                <w:rFonts w:eastAsia="Arial" w:cs="Arial"/>
                <w:color w:val="243B48"/>
                <w:lang w:val="ru-RU"/>
              </w:rPr>
              <w:t>Не хватает уверенности в использовании</w:t>
            </w:r>
          </w:p>
        </w:tc>
        <w:tc>
          <w:tcPr>
            <w:tcW w:w="3402" w:type="dxa"/>
            <w:shd w:val="clear" w:color="auto" w:fill="FFFFFF"/>
            <w:tcMar>
              <w:top w:w="85" w:type="dxa"/>
              <w:left w:w="105" w:type="dxa"/>
              <w:bottom w:w="85" w:type="dxa"/>
              <w:right w:w="105" w:type="dxa"/>
            </w:tcMar>
            <w:vAlign w:val="center"/>
          </w:tcPr>
          <w:p w14:paraId="17B8285E" w14:textId="77777777" w:rsidR="00FA66E5" w:rsidRDefault="00000000">
            <w:pPr>
              <w:pStyle w:val="TableText"/>
            </w:pPr>
            <w:proofErr w:type="spellStart"/>
            <w:r>
              <w:rPr>
                <w:rFonts w:eastAsia="Arial" w:cs="Arial"/>
                <w:color w:val="243B48"/>
              </w:rPr>
              <w:t>Дать</w:t>
            </w:r>
            <w:proofErr w:type="spellEnd"/>
            <w:r>
              <w:rPr>
                <w:rFonts w:eastAsia="Arial" w:cs="Arial"/>
                <w:color w:val="243B48"/>
              </w:rPr>
              <w:t xml:space="preserve"> </w:t>
            </w:r>
            <w:proofErr w:type="spellStart"/>
            <w:r>
              <w:rPr>
                <w:rFonts w:eastAsia="Arial" w:cs="Arial"/>
                <w:color w:val="243B48"/>
              </w:rPr>
              <w:t>демонстрацию</w:t>
            </w:r>
            <w:proofErr w:type="spellEnd"/>
            <w:r>
              <w:rPr>
                <w:rFonts w:eastAsia="Arial" w:cs="Arial"/>
                <w:color w:val="243B48"/>
              </w:rPr>
              <w:t xml:space="preserve"> </w:t>
            </w:r>
            <w:proofErr w:type="spellStart"/>
            <w:r>
              <w:rPr>
                <w:rFonts w:eastAsia="Arial" w:cs="Arial"/>
                <w:color w:val="243B48"/>
              </w:rPr>
              <w:t>или</w:t>
            </w:r>
            <w:proofErr w:type="spellEnd"/>
            <w:r>
              <w:rPr>
                <w:rFonts w:eastAsia="Arial" w:cs="Arial"/>
                <w:color w:val="243B48"/>
              </w:rPr>
              <w:t xml:space="preserve"> </w:t>
            </w:r>
            <w:proofErr w:type="spellStart"/>
            <w:r>
              <w:rPr>
                <w:rFonts w:eastAsia="Arial" w:cs="Arial"/>
                <w:color w:val="243B48"/>
              </w:rPr>
              <w:t>инструкцию</w:t>
            </w:r>
            <w:proofErr w:type="spellEnd"/>
          </w:p>
        </w:tc>
        <w:tc>
          <w:tcPr>
            <w:tcW w:w="3855" w:type="dxa"/>
            <w:shd w:val="clear" w:color="auto" w:fill="FFFFFF"/>
            <w:tcMar>
              <w:top w:w="85" w:type="dxa"/>
              <w:left w:w="105" w:type="dxa"/>
              <w:bottom w:w="85" w:type="dxa"/>
              <w:right w:w="105" w:type="dxa"/>
            </w:tcMar>
            <w:vAlign w:val="center"/>
          </w:tcPr>
          <w:p w14:paraId="0EF15C6B" w14:textId="77777777" w:rsidR="00FA66E5" w:rsidRPr="004A7E8D" w:rsidRDefault="00000000">
            <w:pPr>
              <w:pStyle w:val="TableText"/>
              <w:rPr>
                <w:lang w:val="ru-RU"/>
              </w:rPr>
            </w:pPr>
            <w:r w:rsidRPr="004A7E8D">
              <w:rPr>
                <w:rFonts w:eastAsia="Arial" w:cs="Arial"/>
                <w:color w:val="243B48"/>
                <w:lang w:val="ru-RU"/>
              </w:rPr>
              <w:t>Удается ли выполнить целевую задачу</w:t>
            </w:r>
          </w:p>
        </w:tc>
      </w:tr>
    </w:tbl>
    <w:p w14:paraId="488C53C1" w14:textId="77777777" w:rsidR="00FA66E5" w:rsidRPr="004A7E8D" w:rsidRDefault="00FA66E5">
      <w:pPr>
        <w:spacing w:after="0"/>
        <w:rPr>
          <w:lang w:val="ru-RU"/>
        </w:rPr>
      </w:pPr>
    </w:p>
    <w:p w14:paraId="4A75F0EC" w14:textId="77777777" w:rsidR="00FA66E5" w:rsidRPr="004A7E8D" w:rsidRDefault="00000000">
      <w:pPr>
        <w:pStyle w:val="21"/>
        <w:rPr>
          <w:lang w:val="ru-RU"/>
        </w:rPr>
      </w:pPr>
      <w:r w:rsidRPr="004A7E8D">
        <w:rPr>
          <w:lang w:val="ru-RU"/>
        </w:rPr>
        <w:t>Управление предполагает координацию</w:t>
      </w:r>
    </w:p>
    <w:p w14:paraId="29A87776" w14:textId="77777777" w:rsidR="00FA66E5" w:rsidRPr="004A7E8D" w:rsidRDefault="00000000">
      <w:pPr>
        <w:rPr>
          <w:lang w:val="ru-RU"/>
        </w:rPr>
      </w:pPr>
      <w:r w:rsidRPr="004A7E8D">
        <w:rPr>
          <w:lang w:val="ru-RU"/>
        </w:rPr>
        <w:t>Обещание быстрой доставки должно соответствовать логистике. Обещание простого возврата — реальной процедуре. Если коммуникация меняется отдельно от процесса, возникает расхождение ожиданий и опыта. Поэтому маркетологу необходимо взаимодействовать с продуктовой командой, обслуживанием, продажами, аналитиками и операционными подразделениями.</w:t>
      </w:r>
    </w:p>
    <w:p w14:paraId="3EFBA8A8" w14:textId="77777777" w:rsidR="00FA66E5" w:rsidRPr="004A7E8D" w:rsidRDefault="00000000">
      <w:pPr>
        <w:rPr>
          <w:lang w:val="ru-RU"/>
        </w:rPr>
      </w:pPr>
      <w:r w:rsidRPr="004A7E8D">
        <w:rPr>
          <w:lang w:val="ru-RU"/>
        </w:rPr>
        <w:t>Изменение одного элемента способно затронуть другие. Упрощение ассортимента может облегчить навигацию, но лишить часть клиентов подходящего варианта. Бесплатная доставка может повысить привлекательность, но потребовать пересмотра минимальной суммы заказа. Решение оценивают через несколько последствий, а не по одному промежуточному показателю.</w:t>
      </w:r>
    </w:p>
    <w:p w14:paraId="5782171C" w14:textId="77777777" w:rsidR="00FA66E5" w:rsidRPr="004A7E8D" w:rsidRDefault="00000000">
      <w:pPr>
        <w:rPr>
          <w:lang w:val="ru-RU"/>
        </w:rPr>
      </w:pPr>
      <w:r w:rsidRPr="004A7E8D">
        <w:rPr>
          <w:lang w:val="ru-RU"/>
        </w:rPr>
        <w:t>В учебной работе полезно составить карточку инструмента: какую проблему он решает; для какой группы; каким способом; какой ресурс требует; какой побочный эффект возможен; по какому наблюдению будет пересмотрен. Такая карточка делает рекомендации проверяемыми и позволяет сравнивать содержательно разные варианты, а не только привлекательность их названий.</w:t>
      </w:r>
    </w:p>
    <w:p w14:paraId="34BD8475" w14:textId="77777777" w:rsidR="00FA66E5" w:rsidRPr="004A7E8D" w:rsidRDefault="00000000">
      <w:pPr>
        <w:pStyle w:val="1"/>
        <w:pageBreakBefore/>
        <w:rPr>
          <w:lang w:val="ru-RU"/>
        </w:rPr>
      </w:pPr>
      <w:r w:rsidRPr="004A7E8D">
        <w:rPr>
          <w:lang w:val="ru-RU"/>
        </w:rPr>
        <w:lastRenderedPageBreak/>
        <w:t>5. Постановка задачи, показатели и границы ответственности</w:t>
      </w:r>
    </w:p>
    <w:p w14:paraId="658F5CEF" w14:textId="77777777" w:rsidR="00FA66E5" w:rsidRPr="004A7E8D" w:rsidRDefault="00000000">
      <w:pPr>
        <w:rPr>
          <w:lang w:val="ru-RU"/>
        </w:rPr>
      </w:pPr>
      <w:r w:rsidRPr="004A7E8D">
        <w:rPr>
          <w:lang w:val="ru-RU"/>
        </w:rPr>
        <w:t>Задача управления должна описывать конкретное действие в определенном контексте. Вместо «повысить активность потребителей» лучше сформулировать: «уменьшить число ошибочных заказов несовместимого аксессуара среди покупателей данной категории». Такая цель указывает, что именно нужно изменить, и допускает проверку без догадок о «подсознании аудитории».</w:t>
      </w:r>
    </w:p>
    <w:p w14:paraId="47ED3442" w14:textId="77777777" w:rsidR="00FA66E5" w:rsidRPr="004A7E8D" w:rsidRDefault="00000000">
      <w:pPr>
        <w:rPr>
          <w:lang w:val="ru-RU"/>
        </w:rPr>
      </w:pPr>
      <w:r w:rsidRPr="004A7E8D">
        <w:rPr>
          <w:lang w:val="ru-RU"/>
        </w:rPr>
        <w:t>Показатель требует числителя, знаменателя, периода и правил включения. Доля ошибочных заказов может рассчитываться как число подтвержденных ошибок совместимости, деленное на число заказов соответствующей категории. Если часть ошибок не регистрируется или причины возврата заполняются неполно, это ограничение данных. Нельзя принимать удобную выгрузку за полное описание реальности.</w:t>
      </w:r>
    </w:p>
    <w:p w14:paraId="71FAB658" w14:textId="77777777" w:rsidR="00FA66E5" w:rsidRPr="004A7E8D" w:rsidRDefault="00000000">
      <w:pPr>
        <w:pStyle w:val="21"/>
        <w:rPr>
          <w:lang w:val="ru-RU"/>
        </w:rPr>
      </w:pPr>
      <w:r w:rsidRPr="004A7E8D">
        <w:rPr>
          <w:lang w:val="ru-RU"/>
        </w:rPr>
        <w:t>Основной результат и защитные условия</w:t>
      </w:r>
    </w:p>
    <w:p w14:paraId="3A323D2A" w14:textId="77777777" w:rsidR="00FA66E5" w:rsidRPr="004A7E8D" w:rsidRDefault="00000000">
      <w:pPr>
        <w:rPr>
          <w:lang w:val="ru-RU"/>
        </w:rPr>
      </w:pPr>
      <w:r w:rsidRPr="004A7E8D">
        <w:rPr>
          <w:lang w:val="ru-RU"/>
        </w:rPr>
        <w:t>Основной показатель отражает желаемое изменение. Защитные показатели фиксируют то, что не должно ухудшиться: понятность условий, доступность помощи, доля жалоб, качество исполнения. Например, сокращение времени оформления не является успехом, если покупатели перестали замечать обязательные платежи. Защитное условие удерживает проект от оптимизации одной цифры за счет потребителя.</w:t>
      </w:r>
    </w:p>
    <w:p w14:paraId="34613D04" w14:textId="77777777" w:rsidR="00FA66E5" w:rsidRPr="004A7E8D" w:rsidRDefault="00000000">
      <w:pPr>
        <w:rPr>
          <w:lang w:val="ru-RU"/>
        </w:rPr>
      </w:pPr>
      <w:r w:rsidRPr="004A7E8D">
        <w:rPr>
          <w:lang w:val="ru-RU"/>
        </w:rPr>
        <w:t xml:space="preserve">Этическая рамка исследовательской работы включает прозрачность цели, ответственность за данные и уважение к участникам. Международный кодекс </w:t>
      </w:r>
      <w:r>
        <w:t>ICC</w:t>
      </w:r>
      <w:r w:rsidRPr="004A7E8D">
        <w:rPr>
          <w:lang w:val="ru-RU"/>
        </w:rPr>
        <w:t>/</w:t>
      </w:r>
      <w:r>
        <w:t>ESOMAR</w:t>
      </w:r>
      <w:r w:rsidRPr="004A7E8D">
        <w:rPr>
          <w:lang w:val="ru-RU"/>
        </w:rPr>
        <w:t xml:space="preserve"> рассматривается здесь как профессиональный ориентир, а не как закон, одинаково действующий во всех странах [3]. Правовые требования к рекламе, договорам и персональным данным проверяются отдельно для применимой юрисдикции.</w:t>
      </w:r>
    </w:p>
    <w:p w14:paraId="116E843E" w14:textId="77777777" w:rsidR="00FA66E5" w:rsidRPr="004A7E8D" w:rsidRDefault="00000000">
      <w:pPr>
        <w:pStyle w:val="21"/>
        <w:rPr>
          <w:lang w:val="ru-RU"/>
        </w:rPr>
      </w:pPr>
      <w:r w:rsidRPr="004A7E8D">
        <w:rPr>
          <w:lang w:val="ru-RU"/>
        </w:rPr>
        <w:t>Что компания контролирует</w:t>
      </w:r>
    </w:p>
    <w:p w14:paraId="57D4046E" w14:textId="77777777" w:rsidR="00FA66E5" w:rsidRPr="004A7E8D" w:rsidRDefault="00000000">
      <w:pPr>
        <w:rPr>
          <w:lang w:val="ru-RU"/>
        </w:rPr>
      </w:pPr>
      <w:r w:rsidRPr="004A7E8D">
        <w:rPr>
          <w:lang w:val="ru-RU"/>
        </w:rPr>
        <w:t>Компания может отвечать за достоверность описания, корректность цены, работоспособность процесса и качество проверки. Она не может гарантировать, что каждый человек выберет именно ее товар. Отказ может быть рациональным следствием неподходящих условий. Поэтому задача курса — научиться улучшать соответствие предложения потребительской задаче, а не стирать возможность несогласия.</w:t>
      </w:r>
    </w:p>
    <w:p w14:paraId="7BBADBDB" w14:textId="77777777" w:rsidR="00FA66E5" w:rsidRPr="004A7E8D" w:rsidRDefault="00000000">
      <w:pPr>
        <w:rPr>
          <w:lang w:val="ru-RU"/>
        </w:rPr>
      </w:pPr>
      <w:r w:rsidRPr="004A7E8D">
        <w:rPr>
          <w:lang w:val="ru-RU"/>
        </w:rPr>
        <w:t>Практическое правило: прежде чем рекомендовать воздействие, спросите, было бы решение приемлемым, если бы потребитель понимал его устройство и цель. Если эффект зависит от сокрытия цены, фиктивного дефицита или невозможности отказаться, это повод пересмотреть дизайн. Ответственное управление делает выбор яснее и удобнее, сохраняя возможность выбрать альтернативу или не покупать.</w:t>
      </w:r>
    </w:p>
    <w:p w14:paraId="4A914FFA" w14:textId="77777777" w:rsidR="00FA66E5" w:rsidRPr="004A7E8D" w:rsidRDefault="00000000">
      <w:pPr>
        <w:pStyle w:val="1"/>
        <w:pageBreakBefore/>
        <w:rPr>
          <w:lang w:val="ru-RU"/>
        </w:rPr>
      </w:pPr>
      <w:r w:rsidRPr="004A7E8D">
        <w:rPr>
          <w:lang w:val="ru-RU"/>
        </w:rPr>
        <w:lastRenderedPageBreak/>
        <w:t>6. Разобранный кейс: почему не растут заказы</w:t>
      </w:r>
    </w:p>
    <w:p w14:paraId="43B6078E" w14:textId="77777777" w:rsidR="00FA66E5" w:rsidRPr="004A7E8D" w:rsidRDefault="00000000">
      <w:pPr>
        <w:pStyle w:val="Small"/>
        <w:rPr>
          <w:lang w:val="ru-RU"/>
        </w:rPr>
      </w:pPr>
      <w:r w:rsidRPr="004A7E8D">
        <w:rPr>
          <w:lang w:val="ru-RU"/>
        </w:rPr>
        <w:t>Все названия, ситуации и числа в кейсе вымышлены и предназначены для обучения.</w:t>
      </w:r>
    </w:p>
    <w:p w14:paraId="394CB558" w14:textId="77777777" w:rsidR="00FA66E5" w:rsidRPr="004A7E8D" w:rsidRDefault="00000000">
      <w:pPr>
        <w:rPr>
          <w:lang w:val="ru-RU"/>
        </w:rPr>
      </w:pPr>
      <w:r w:rsidRPr="004A7E8D">
        <w:rPr>
          <w:lang w:val="ru-RU"/>
        </w:rPr>
        <w:t>Интернет-магазин «Полка» продает товары для организации рабочего места. За неделю 1 000 уникальных посетителей открыли каталог, 240 добавили товар в корзину, 120 начали оформление, 60 оплатили заказ. Руководитель предлагает снизить все цены на 10%, полагая, что «людям дорого». В обращениях встречаются вопросы о стоимости доставки и наличии нужного цвета. Систематического исследования причин отказа нет.</w:t>
      </w:r>
    </w:p>
    <w:p w14:paraId="4ED5B3E1" w14:textId="77777777" w:rsidR="00FA66E5" w:rsidRPr="004A7E8D" w:rsidRDefault="00000000">
      <w:pPr>
        <w:pStyle w:val="21"/>
        <w:rPr>
          <w:lang w:val="ru-RU"/>
        </w:rPr>
      </w:pPr>
      <w:r w:rsidRPr="004A7E8D">
        <w:rPr>
          <w:lang w:val="ru-RU"/>
        </w:rPr>
        <w:t>Шаг 1. Описать, что действительно известно</w:t>
      </w:r>
    </w:p>
    <w:p w14:paraId="7762A071" w14:textId="77777777" w:rsidR="00FA66E5" w:rsidRPr="004A7E8D" w:rsidRDefault="00000000">
      <w:pPr>
        <w:rPr>
          <w:lang w:val="ru-RU"/>
        </w:rPr>
      </w:pPr>
      <w:r w:rsidRPr="004A7E8D">
        <w:rPr>
          <w:lang w:val="ru-RU"/>
        </w:rPr>
        <w:t>Конверсия посетителей в оплативших покупателей равна 60 / 1 000 × 100 = 6%. Переход от корзины к началу оформления — 120 / 240 × 100 = 50%, а от начала оформления к оплате — 60 / 120 × 100 = 50%. Это описание выбранной недели. Оно не показывает, что ровно половина клиентов «испугалась цены»: часть могла вернуться позже, сравнивать варианты или столкнуться с технической ошибкой.</w:t>
      </w:r>
    </w:p>
    <w:p w14:paraId="1DB209DC" w14:textId="77777777" w:rsidR="00FA66E5" w:rsidRPr="004A7E8D" w:rsidRDefault="00000000">
      <w:pPr>
        <w:pStyle w:val="21"/>
        <w:rPr>
          <w:lang w:val="ru-RU"/>
        </w:rPr>
      </w:pPr>
      <w:r w:rsidRPr="004A7E8D">
        <w:rPr>
          <w:lang w:val="ru-RU"/>
        </w:rPr>
        <w:t>Шаг 2. Сопоставить объяснения</w:t>
      </w:r>
    </w:p>
    <w:p w14:paraId="52310BAC" w14:textId="77777777" w:rsidR="00FA66E5" w:rsidRPr="004A7E8D" w:rsidRDefault="00000000">
      <w:pPr>
        <w:rPr>
          <w:lang w:val="ru-RU"/>
        </w:rPr>
      </w:pPr>
      <w:r w:rsidRPr="004A7E8D">
        <w:rPr>
          <w:lang w:val="ru-RU"/>
        </w:rPr>
        <w:t>Гипотеза о цене возможна, но конкурирует с гипотезами о доставке, наличии, ошибках оплаты и несовместимости предложения с задачей. Вопросы в поддержке указывают на информационные затруднения, однако авторы обращений не представляют автоматически всех посетителей. Для проверки нужны журнал ошибок, аудит условий оформления и короткие интервью о последнем эпизоде выбора.</w:t>
      </w:r>
    </w:p>
    <w:p w14:paraId="3E999BA7" w14:textId="77777777" w:rsidR="00FA66E5" w:rsidRPr="004A7E8D" w:rsidRDefault="00000000">
      <w:pPr>
        <w:pStyle w:val="21"/>
        <w:rPr>
          <w:lang w:val="ru-RU"/>
        </w:rPr>
      </w:pPr>
      <w:r w:rsidRPr="004A7E8D">
        <w:rPr>
          <w:lang w:val="ru-RU"/>
        </w:rPr>
        <w:t>Шаг 3. Выбрать ограниченный пилот</w:t>
      </w:r>
    </w:p>
    <w:p w14:paraId="25F52B2A" w14:textId="77777777" w:rsidR="00FA66E5" w:rsidRPr="004A7E8D" w:rsidRDefault="00000000">
      <w:pPr>
        <w:rPr>
          <w:lang w:val="ru-RU"/>
        </w:rPr>
      </w:pPr>
      <w:r w:rsidRPr="004A7E8D">
        <w:rPr>
          <w:lang w:val="ru-RU"/>
        </w:rPr>
        <w:t>Команда может заранее показывать стоимость и сроки доставки на карточке товара, не меняя цену и рекламный источник. Проверяются понимание полной стоимости, переход к оплате и число обращений с уточнениями. Для оценки причинного эффекта предпочтительно сравнение сопоставимых групп со случайным распределением версий; простое «до — после» потребует дополнительных оговорок.</w:t>
      </w:r>
    </w:p>
    <w:p w14:paraId="4985A766" w14:textId="77777777" w:rsidR="00FA66E5" w:rsidRPr="004A7E8D" w:rsidRDefault="00000000">
      <w:pPr>
        <w:pStyle w:val="21"/>
        <w:rPr>
          <w:lang w:val="ru-RU"/>
        </w:rPr>
      </w:pPr>
      <w:r w:rsidRPr="004A7E8D">
        <w:rPr>
          <w:lang w:val="ru-RU"/>
        </w:rPr>
        <w:t>Шаг 4. Определить критерий решения</w:t>
      </w:r>
    </w:p>
    <w:p w14:paraId="2773D64A" w14:textId="77777777" w:rsidR="00FA66E5" w:rsidRPr="004A7E8D" w:rsidRDefault="00000000">
      <w:pPr>
        <w:rPr>
          <w:lang w:val="ru-RU"/>
        </w:rPr>
      </w:pPr>
      <w:r w:rsidRPr="004A7E8D">
        <w:rPr>
          <w:lang w:val="ru-RU"/>
        </w:rPr>
        <w:t>Если условия стали понятнее, но заказов не прибавилось, изменение все равно может устранить ошибочные ожидания. Следующий шаг — проверка других барьеров, а не объявление потребителей «нечувствительными к улучшениям». Массовая скидка без диагностики рискует уменьшить доход с заказов, которые состоялись бы и без нее.</w:t>
      </w:r>
    </w:p>
    <w:p w14:paraId="21F08D62" w14:textId="77777777" w:rsidR="00FA66E5" w:rsidRPr="004A7E8D" w:rsidRDefault="00000000">
      <w:pPr>
        <w:rPr>
          <w:lang w:val="ru-RU"/>
        </w:rPr>
      </w:pPr>
      <w:r w:rsidRPr="004A7E8D">
        <w:rPr>
          <w:lang w:val="ru-RU"/>
        </w:rPr>
        <w:t>Кейс показывает последовательность: сначала наблюдаемое поведение и ограничения данных, затем альтернативные объяснения, после этого инструмент и проверка. Ни один этап нельзя заменить уверенностью руководителя или эффектным термином.</w:t>
      </w:r>
    </w:p>
    <w:p w14:paraId="246C9A6E" w14:textId="77777777" w:rsidR="00FA66E5" w:rsidRPr="004A7E8D" w:rsidRDefault="00000000">
      <w:pPr>
        <w:pStyle w:val="1"/>
        <w:pageBreakBefore/>
        <w:rPr>
          <w:lang w:val="ru-RU"/>
        </w:rPr>
      </w:pPr>
      <w:r w:rsidRPr="004A7E8D">
        <w:rPr>
          <w:lang w:val="ru-RU"/>
        </w:rPr>
        <w:lastRenderedPageBreak/>
        <w:t>7. Самопроверка и самостоятельная работа</w:t>
      </w:r>
    </w:p>
    <w:p w14:paraId="756D3FC8" w14:textId="77777777" w:rsidR="00FA66E5" w:rsidRPr="004A7E8D" w:rsidRDefault="00000000">
      <w:pPr>
        <w:pStyle w:val="Question"/>
        <w:rPr>
          <w:lang w:val="ru-RU"/>
        </w:rPr>
      </w:pPr>
      <w:r w:rsidRPr="004A7E8D">
        <w:rPr>
          <w:lang w:val="ru-RU"/>
        </w:rPr>
        <w:t>1. Почему потребительское поведение нельзя свести к моменту оплаты?</w:t>
      </w:r>
    </w:p>
    <w:p w14:paraId="7B34C2FB" w14:textId="77777777" w:rsidR="00FA66E5" w:rsidRPr="004A7E8D" w:rsidRDefault="00000000">
      <w:pPr>
        <w:rPr>
          <w:lang w:val="ru-RU"/>
        </w:rPr>
      </w:pPr>
      <w:r w:rsidRPr="004A7E8D">
        <w:rPr>
          <w:lang w:val="ru-RU"/>
        </w:rPr>
        <w:t>Ориентир: сравнение, использование, обслуживание и отказ влияют на результат обмена. Покупка может завершиться возвратом, а успешное использование — стать основанием повторного выбора. Для каждой задачи нужен подходящий временной горизонт.</w:t>
      </w:r>
    </w:p>
    <w:p w14:paraId="3229039B" w14:textId="77777777" w:rsidR="00FA66E5" w:rsidRPr="004A7E8D" w:rsidRDefault="00000000">
      <w:pPr>
        <w:pStyle w:val="Question"/>
        <w:rPr>
          <w:lang w:val="ru-RU"/>
        </w:rPr>
      </w:pPr>
      <w:r w:rsidRPr="004A7E8D">
        <w:rPr>
          <w:lang w:val="ru-RU"/>
        </w:rPr>
        <w:t>2. Чем отличается покупатель от пользователя?</w:t>
      </w:r>
    </w:p>
    <w:p w14:paraId="6A7C24DA" w14:textId="77777777" w:rsidR="00FA66E5" w:rsidRPr="004A7E8D" w:rsidRDefault="00000000">
      <w:pPr>
        <w:rPr>
          <w:lang w:val="ru-RU"/>
        </w:rPr>
      </w:pPr>
      <w:r w:rsidRPr="004A7E8D">
        <w:rPr>
          <w:lang w:val="ru-RU"/>
        </w:rPr>
        <w:t>Ориентир: покупатель оформляет приобретение, пользователь получает опыт применения. Роли могут совпадать или распределяться. Вывод о потребности одного участника нельзя автоматически переносить на другого.</w:t>
      </w:r>
    </w:p>
    <w:p w14:paraId="379EAD57" w14:textId="77777777" w:rsidR="00FA66E5" w:rsidRPr="004A7E8D" w:rsidRDefault="00000000">
      <w:pPr>
        <w:pStyle w:val="Question"/>
        <w:rPr>
          <w:lang w:val="ru-RU"/>
        </w:rPr>
      </w:pPr>
      <w:r w:rsidRPr="004A7E8D">
        <w:rPr>
          <w:lang w:val="ru-RU"/>
        </w:rPr>
        <w:t>3. Доказывает ли рост продаж после рекламы ее эффективность?</w:t>
      </w:r>
    </w:p>
    <w:p w14:paraId="5D6CBCE5" w14:textId="77777777" w:rsidR="00FA66E5" w:rsidRPr="004A7E8D" w:rsidRDefault="00000000">
      <w:pPr>
        <w:rPr>
          <w:lang w:val="ru-RU"/>
        </w:rPr>
      </w:pPr>
      <w:r w:rsidRPr="004A7E8D">
        <w:rPr>
          <w:lang w:val="ru-RU"/>
        </w:rPr>
        <w:t>Ориентир: он показывает последовательность событий, но возможны сезонность, изменение наличия и цены. Для причинного вывода требуется подходящий дизайн сравнения и контроль иных объяснений.</w:t>
      </w:r>
    </w:p>
    <w:p w14:paraId="2F977250" w14:textId="77777777" w:rsidR="00FA66E5" w:rsidRPr="004A7E8D" w:rsidRDefault="00000000">
      <w:pPr>
        <w:pStyle w:val="Question"/>
        <w:rPr>
          <w:lang w:val="ru-RU"/>
        </w:rPr>
      </w:pPr>
      <w:r w:rsidRPr="004A7E8D">
        <w:rPr>
          <w:lang w:val="ru-RU"/>
        </w:rPr>
        <w:t>4. Почему число показов не заменяет оценку понимания?</w:t>
      </w:r>
    </w:p>
    <w:p w14:paraId="600927B9" w14:textId="77777777" w:rsidR="00FA66E5" w:rsidRPr="004A7E8D" w:rsidRDefault="00000000">
      <w:pPr>
        <w:rPr>
          <w:lang w:val="ru-RU"/>
        </w:rPr>
      </w:pPr>
      <w:r w:rsidRPr="004A7E8D">
        <w:rPr>
          <w:lang w:val="ru-RU"/>
        </w:rPr>
        <w:t>Ориентир: показ означает возможность контакта, а не внимание или правильную интерпретацию. Понимание проверяется отдельным заданием или вопросом без подсказки желательного ответа.</w:t>
      </w:r>
    </w:p>
    <w:p w14:paraId="5A45DB0B" w14:textId="77777777" w:rsidR="00FA66E5" w:rsidRPr="004A7E8D" w:rsidRDefault="00000000">
      <w:pPr>
        <w:pStyle w:val="Question"/>
        <w:rPr>
          <w:lang w:val="ru-RU"/>
        </w:rPr>
      </w:pPr>
      <w:r w:rsidRPr="004A7E8D">
        <w:rPr>
          <w:lang w:val="ru-RU"/>
        </w:rPr>
        <w:t>5. Что считать ответственным управленческим решением?</w:t>
      </w:r>
    </w:p>
    <w:p w14:paraId="44F111FB" w14:textId="77777777" w:rsidR="00FA66E5" w:rsidRPr="004A7E8D" w:rsidRDefault="00000000">
      <w:pPr>
        <w:rPr>
          <w:lang w:val="ru-RU"/>
        </w:rPr>
      </w:pPr>
      <w:r w:rsidRPr="004A7E8D">
        <w:rPr>
          <w:lang w:val="ru-RU"/>
        </w:rPr>
        <w:t>Ориентир: решение связано с подтвержденной проблемой, сохраняет достоверность существенных условий, допускает отказ и имеет проверяемый результат. Рост одной метрики не оправдывает скрытые потери потребителя.</w:t>
      </w:r>
    </w:p>
    <w:p w14:paraId="6F4BB3FB" w14:textId="77777777" w:rsidR="00FA66E5" w:rsidRPr="004A7E8D" w:rsidRDefault="00000000">
      <w:pPr>
        <w:pStyle w:val="21"/>
        <w:rPr>
          <w:lang w:val="ru-RU"/>
        </w:rPr>
      </w:pPr>
      <w:r w:rsidRPr="004A7E8D">
        <w:rPr>
          <w:lang w:val="ru-RU"/>
        </w:rPr>
        <w:t>Самостоятельное задание</w:t>
      </w:r>
    </w:p>
    <w:p w14:paraId="4644904E" w14:textId="77777777" w:rsidR="00FA66E5" w:rsidRPr="004A7E8D" w:rsidRDefault="00000000">
      <w:pPr>
        <w:rPr>
          <w:lang w:val="ru-RU"/>
        </w:rPr>
      </w:pPr>
      <w:r w:rsidRPr="004A7E8D">
        <w:rPr>
          <w:lang w:val="ru-RU"/>
        </w:rPr>
        <w:t>Выберите вымышленный магазин, образовательный сервис или бытовую услугу. Опишите один эпизод выбора в 500–700 словах. Назовите участников, контекст, целевое действие и три возможных барьера. Для каждого барьера предложите источник данных. Затем выберите одно изменение и определите основной показатель и два защитных условия.</w:t>
      </w:r>
    </w:p>
    <w:p w14:paraId="4F60DE5F" w14:textId="77777777" w:rsidR="00FA66E5" w:rsidRPr="004A7E8D" w:rsidRDefault="00000000">
      <w:pPr>
        <w:rPr>
          <w:lang w:val="ru-RU"/>
        </w:rPr>
      </w:pPr>
      <w:r w:rsidRPr="004A7E8D">
        <w:rPr>
          <w:lang w:val="ru-RU"/>
        </w:rPr>
        <w:t>Не проводите реальный опрос: достаточно обоснованного плана. Все предположения обозначайте как предположения. Если используете личный пример, исключите имена, контакты и сведения о других людях.</w:t>
      </w:r>
    </w:p>
    <w:p w14:paraId="523FBAC7" w14:textId="77777777" w:rsidR="00FA66E5" w:rsidRPr="004A7E8D" w:rsidRDefault="00000000">
      <w:pPr>
        <w:pStyle w:val="21"/>
        <w:rPr>
          <w:lang w:val="ru-RU"/>
        </w:rPr>
      </w:pPr>
      <w:r w:rsidRPr="004A7E8D">
        <w:rPr>
          <w:lang w:val="ru-RU"/>
        </w:rPr>
        <w:t>Критерии качества</w:t>
      </w:r>
    </w:p>
    <w:p w14:paraId="71ED3D15" w14:textId="77777777" w:rsidR="00FA66E5" w:rsidRPr="004A7E8D" w:rsidRDefault="00000000">
      <w:pPr>
        <w:rPr>
          <w:lang w:val="ru-RU"/>
        </w:rPr>
      </w:pPr>
      <w:r w:rsidRPr="004A7E8D">
        <w:rPr>
          <w:lang w:val="ru-RU"/>
        </w:rPr>
        <w:t>Полнота ситуации и ролей — 25%; различение фактов и гипотез — 25%; связь решения с барьером — 25%; показатели и ограничения — 25%. Оценивается логика анализа, а не обещание обязательного роста продаж.</w:t>
      </w:r>
    </w:p>
    <w:p w14:paraId="354D31D6" w14:textId="77777777" w:rsidR="00FA66E5" w:rsidRPr="004A7E8D" w:rsidRDefault="00000000">
      <w:pPr>
        <w:pStyle w:val="1"/>
        <w:pageBreakBefore/>
        <w:rPr>
          <w:lang w:val="ru-RU"/>
        </w:rPr>
      </w:pPr>
      <w:r w:rsidRPr="004A7E8D">
        <w:rPr>
          <w:lang w:val="ru-RU"/>
        </w:rPr>
        <w:lastRenderedPageBreak/>
        <w:t>8. Итоги и опорные понятия</w:t>
      </w:r>
    </w:p>
    <w:p w14:paraId="6D7DA519" w14:textId="77777777" w:rsidR="00FA66E5" w:rsidRPr="004A7E8D" w:rsidRDefault="00000000">
      <w:pPr>
        <w:rPr>
          <w:lang w:val="ru-RU"/>
        </w:rPr>
      </w:pPr>
      <w:r w:rsidRPr="004A7E8D">
        <w:rPr>
          <w:lang w:val="ru-RU"/>
        </w:rPr>
        <w:t>Потребительское поведение связано с задачами человека, ресурсами, социальными отношениями и условиями предложения. Выбор инструмента требует объяснить, какой барьер он меняет и как проверяется результат. Управление организует условия обмена, но не устраняет самостоятельность потребителя.</w:t>
      </w:r>
    </w:p>
    <w:p w14:paraId="08339F6E" w14:textId="77777777" w:rsidR="00FA66E5" w:rsidRPr="004A7E8D" w:rsidRDefault="00000000">
      <w:pPr>
        <w:rPr>
          <w:lang w:val="ru-RU"/>
        </w:rPr>
      </w:pPr>
      <w:r w:rsidRPr="004A7E8D">
        <w:rPr>
          <w:lang w:val="ru-RU"/>
        </w:rPr>
        <w:t>Далее сохраняйте три различия: действие и намерение; наблюдение и объяснение; активность и потребительский результат. Они понадобятся в исследованиях, сегментации и экспериментах. Точная исходная задача помогает не предлагать одинаковую скидку в ответ на разные проблемы.</w:t>
      </w:r>
    </w:p>
    <w:p w14:paraId="3F77EF71" w14:textId="77777777" w:rsidR="00FA66E5" w:rsidRPr="004A7E8D" w:rsidRDefault="00000000">
      <w:pPr>
        <w:pStyle w:val="21"/>
        <w:rPr>
          <w:lang w:val="ru-RU"/>
        </w:rPr>
      </w:pPr>
      <w:r w:rsidRPr="004A7E8D">
        <w:rPr>
          <w:lang w:val="ru-RU"/>
        </w:rPr>
        <w:t>Мини-глоссарий</w:t>
      </w:r>
    </w:p>
    <w:p w14:paraId="77298988" w14:textId="77777777" w:rsidR="00FA66E5" w:rsidRPr="004A7E8D" w:rsidRDefault="00000000">
      <w:pPr>
        <w:rPr>
          <w:lang w:val="ru-RU"/>
        </w:rPr>
      </w:pPr>
      <w:r w:rsidRPr="004A7E8D">
        <w:rPr>
          <w:b/>
          <w:lang w:val="ru-RU"/>
        </w:rPr>
        <w:t>Потребительская задача</w:t>
      </w:r>
      <w:r w:rsidRPr="004A7E8D">
        <w:rPr>
          <w:lang w:val="ru-RU"/>
        </w:rPr>
        <w:t xml:space="preserve"> — результат, которого человек стремится достичь в определенной ситуации.</w:t>
      </w:r>
    </w:p>
    <w:p w14:paraId="0F8E0B30" w14:textId="77777777" w:rsidR="00FA66E5" w:rsidRPr="004A7E8D" w:rsidRDefault="00000000">
      <w:pPr>
        <w:rPr>
          <w:lang w:val="ru-RU"/>
        </w:rPr>
      </w:pPr>
      <w:r w:rsidRPr="004A7E8D">
        <w:rPr>
          <w:b/>
          <w:lang w:val="ru-RU"/>
        </w:rPr>
        <w:t>Единица анализа</w:t>
      </w:r>
      <w:r w:rsidRPr="004A7E8D">
        <w:rPr>
          <w:lang w:val="ru-RU"/>
        </w:rPr>
        <w:t xml:space="preserve"> — объект учета: человек, домохозяйство, заказ, сессия или эпизод использования.</w:t>
      </w:r>
    </w:p>
    <w:p w14:paraId="574FEFC0" w14:textId="77777777" w:rsidR="00FA66E5" w:rsidRPr="004A7E8D" w:rsidRDefault="00000000">
      <w:pPr>
        <w:rPr>
          <w:lang w:val="ru-RU"/>
        </w:rPr>
      </w:pPr>
      <w:r w:rsidRPr="004A7E8D">
        <w:rPr>
          <w:b/>
          <w:lang w:val="ru-RU"/>
        </w:rPr>
        <w:t>Поведенческий барьер</w:t>
      </w:r>
      <w:r w:rsidRPr="004A7E8D">
        <w:rPr>
          <w:lang w:val="ru-RU"/>
        </w:rPr>
        <w:t xml:space="preserve"> — обстоятельство, затрудняющее конкретное действие, а не общий ярлык личности.</w:t>
      </w:r>
    </w:p>
    <w:p w14:paraId="30AD853F" w14:textId="77777777" w:rsidR="00FA66E5" w:rsidRPr="004A7E8D" w:rsidRDefault="00000000">
      <w:pPr>
        <w:rPr>
          <w:lang w:val="ru-RU"/>
        </w:rPr>
      </w:pPr>
      <w:r w:rsidRPr="004A7E8D">
        <w:rPr>
          <w:b/>
          <w:lang w:val="ru-RU"/>
        </w:rPr>
        <w:t>Гипотеза</w:t>
      </w:r>
      <w:r w:rsidRPr="004A7E8D">
        <w:rPr>
          <w:lang w:val="ru-RU"/>
        </w:rPr>
        <w:t xml:space="preserve"> — проверяемое предположение о связи условий и наблюдаемого результата.</w:t>
      </w:r>
    </w:p>
    <w:p w14:paraId="0BDD9C54" w14:textId="77777777" w:rsidR="00FA66E5" w:rsidRPr="004A7E8D" w:rsidRDefault="00000000">
      <w:pPr>
        <w:rPr>
          <w:lang w:val="ru-RU"/>
        </w:rPr>
      </w:pPr>
      <w:r w:rsidRPr="004A7E8D">
        <w:rPr>
          <w:b/>
          <w:lang w:val="ru-RU"/>
        </w:rPr>
        <w:t>Конверсия</w:t>
      </w:r>
      <w:r w:rsidRPr="004A7E8D">
        <w:rPr>
          <w:lang w:val="ru-RU"/>
        </w:rPr>
        <w:t xml:space="preserve"> — доля заданных объектов, совершивших целевое действие, среди объектов определенной исходной группы.</w:t>
      </w:r>
    </w:p>
    <w:p w14:paraId="4FC2FF35" w14:textId="77777777" w:rsidR="00FA66E5" w:rsidRPr="004A7E8D" w:rsidRDefault="00000000">
      <w:pPr>
        <w:rPr>
          <w:lang w:val="ru-RU"/>
        </w:rPr>
      </w:pPr>
      <w:r w:rsidRPr="004A7E8D">
        <w:rPr>
          <w:b/>
          <w:lang w:val="ru-RU"/>
        </w:rPr>
        <w:t>Защитный показатель</w:t>
      </w:r>
      <w:r w:rsidRPr="004A7E8D">
        <w:rPr>
          <w:lang w:val="ru-RU"/>
        </w:rPr>
        <w:t xml:space="preserve"> — критерий, фиксирующий недопустимое ухудшение при достижении основной цели.</w:t>
      </w:r>
    </w:p>
    <w:p w14:paraId="06C5730B" w14:textId="023B11AB" w:rsidR="00FA66E5" w:rsidRPr="004A7E8D" w:rsidRDefault="00000000">
      <w:pPr>
        <w:pStyle w:val="21"/>
        <w:rPr>
          <w:lang w:val="ru-RU"/>
        </w:rPr>
      </w:pPr>
      <w:proofErr w:type="spellStart"/>
      <w:r>
        <w:t>Источники</w:t>
      </w:r>
      <w:proofErr w:type="spellEnd"/>
    </w:p>
    <w:p w14:paraId="5FDB17DA" w14:textId="77777777" w:rsidR="00FA66E5" w:rsidRDefault="00000000">
      <w:pPr>
        <w:pStyle w:val="Small"/>
        <w:keepNext/>
      </w:pPr>
      <w:r>
        <w:t>[1] Gomez Albrecht M., Green M., Hoffman L. Principles of Marketing. OpenStax, 2023. § 3.1: Understanding Consumer Markets and Buying Behavior.</w:t>
      </w:r>
    </w:p>
    <w:p w14:paraId="732F0280" w14:textId="77777777" w:rsidR="00FA66E5"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6D7FCF73" w14:textId="77777777" w:rsidR="00FA66E5" w:rsidRDefault="00000000">
      <w:pPr>
        <w:pStyle w:val="Small"/>
        <w:keepNext/>
      </w:pPr>
      <w:r>
        <w:t>[2] Gomez Albrecht M., Green M., Hoffman L. Principles of Marketing. OpenStax, 2023. § 1.2: The Marketing Mix and the 4Ps of Marketing.</w:t>
      </w:r>
    </w:p>
    <w:p w14:paraId="5B465ECB" w14:textId="77777777" w:rsidR="00FA66E5"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35AF80DE" w14:textId="77777777" w:rsidR="00FA66E5" w:rsidRPr="004A7E8D" w:rsidRDefault="00000000">
      <w:pPr>
        <w:pStyle w:val="Small"/>
        <w:keepNext/>
        <w:rPr>
          <w:lang w:val="ru-RU"/>
        </w:rPr>
      </w:pPr>
      <w:r>
        <w:t xml:space="preserve">[3] ICC / ESOMAR. International Code on Market, Opinion and Social Research and Data Analytics. </w:t>
      </w:r>
      <w:r w:rsidRPr="004A7E8D">
        <w:rPr>
          <w:lang w:val="ru-RU"/>
        </w:rPr>
        <w:t>Редакция 2025 года. Профессиональный этический кодекс.</w:t>
      </w:r>
    </w:p>
    <w:p w14:paraId="31036AF4" w14:textId="55D517BF" w:rsidR="00FA66E5" w:rsidRPr="004A7E8D" w:rsidRDefault="00FA66E5">
      <w:pPr>
        <w:rPr>
          <w:lang w:val="ru-RU"/>
        </w:rPr>
      </w:pPr>
    </w:p>
    <w:sectPr w:rsidR="00FA66E5" w:rsidRPr="004A7E8D" w:rsidSect="00034616">
      <w:headerReference w:type="default" r:id="rId10"/>
      <w:footerReference w:type="default" r:id="rId11"/>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E72F" w14:textId="77777777" w:rsidR="003B17A5" w:rsidRDefault="003B17A5">
      <w:pPr>
        <w:spacing w:after="0" w:line="240" w:lineRule="auto"/>
      </w:pPr>
      <w:r>
        <w:separator/>
      </w:r>
    </w:p>
  </w:endnote>
  <w:endnote w:type="continuationSeparator" w:id="0">
    <w:p w14:paraId="3CBE8AA6" w14:textId="77777777" w:rsidR="003B17A5" w:rsidRDefault="003B1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5CE9" w14:textId="663BBE1C" w:rsidR="00FA66E5" w:rsidRDefault="00FA66E5">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BFC5" w14:textId="77777777" w:rsidR="003B17A5" w:rsidRDefault="003B17A5">
      <w:pPr>
        <w:spacing w:after="0" w:line="240" w:lineRule="auto"/>
      </w:pPr>
      <w:r>
        <w:separator/>
      </w:r>
    </w:p>
  </w:footnote>
  <w:footnote w:type="continuationSeparator" w:id="0">
    <w:p w14:paraId="75E92C8C" w14:textId="77777777" w:rsidR="003B17A5" w:rsidRDefault="003B1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C683" w14:textId="49B2AA4A" w:rsidR="00FA66E5" w:rsidRDefault="00FA66E5">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31659690">
    <w:abstractNumId w:val="8"/>
  </w:num>
  <w:num w:numId="2" w16cid:durableId="374544505">
    <w:abstractNumId w:val="6"/>
  </w:num>
  <w:num w:numId="3" w16cid:durableId="1881746755">
    <w:abstractNumId w:val="5"/>
  </w:num>
  <w:num w:numId="4" w16cid:durableId="573585460">
    <w:abstractNumId w:val="4"/>
  </w:num>
  <w:num w:numId="5" w16cid:durableId="591014985">
    <w:abstractNumId w:val="7"/>
  </w:num>
  <w:num w:numId="6" w16cid:durableId="1423723502">
    <w:abstractNumId w:val="3"/>
  </w:num>
  <w:num w:numId="7" w16cid:durableId="1678343169">
    <w:abstractNumId w:val="2"/>
  </w:num>
  <w:num w:numId="8" w16cid:durableId="2023320007">
    <w:abstractNumId w:val="1"/>
  </w:num>
  <w:num w:numId="9" w16cid:durableId="53150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B45"/>
    <w:rsid w:val="0006063C"/>
    <w:rsid w:val="0015074B"/>
    <w:rsid w:val="0029639D"/>
    <w:rsid w:val="00326F90"/>
    <w:rsid w:val="003B17A5"/>
    <w:rsid w:val="004A7E8D"/>
    <w:rsid w:val="00AA1D8D"/>
    <w:rsid w:val="00B47730"/>
    <w:rsid w:val="00CB0664"/>
    <w:rsid w:val="00FA66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E77C44"/>
  <w14:defaultImageDpi w14:val="300"/>
  <w15:docId w15:val="{D82CD463-2C8B-4E98-8CEB-EB3AD780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rinciples-marketing/pages/3-1-understanding-consumer-markets-and-buying-behavio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penstax.org/books/principles-marketing/pages/1-2-the-marketing-mix-and-the-4ps-of-mark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2685</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Поведение потребителей как объект исследования и управления</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2026-09-28T09:42:00Z</dcterms:modified>
  <cp:category/>
</cp:coreProperties>
</file>