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5BB64" w14:textId="77777777" w:rsidR="00371282" w:rsidRDefault="00000000">
      <w:pPr>
        <w:pStyle w:val="aa"/>
        <w:spacing w:before="0"/>
      </w:pPr>
      <w:bookmarkStart w:id="0" w:name="Section_01"/>
      <w:bookmarkEnd w:id="0"/>
      <w:r>
        <w:t>Оценка эффективности имиджевой стратегии</w:t>
      </w:r>
    </w:p>
    <w:p w14:paraId="4312E829" w14:textId="77777777" w:rsidR="00371282" w:rsidRDefault="00000000">
      <w:pPr>
        <w:pStyle w:val="ac"/>
      </w:pPr>
      <w:r>
        <w:t>От выполненных действий к проверяемому результату</w:t>
      </w:r>
    </w:p>
    <w:p w14:paraId="4761380C" w14:textId="77777777" w:rsidR="00371282" w:rsidRDefault="00000000">
      <w:r>
        <w:t>Оценка эффективности отвечает на вопрос, достигнута ли поставленная цель и на каком основании сделан вывод. Завершение публикаций, создание нового профиля и проведение выступления показывают выполненную работу, но не доказывают изменение восприятия аудитории.</w:t>
      </w:r>
    </w:p>
    <w:p w14:paraId="77B00550" w14:textId="77777777" w:rsidR="00371282" w:rsidRDefault="00000000">
      <w:r>
        <w:t>Интегрированная рамка AMEC разделяет цели, ресурсы, активности, коммуникационные продукты, восприятие сообщений, последующие результаты и более широкое воздействие [1]. Для нашего курса эта логика адаптируется к небольшому проекту без требования сложной системы аналитики.</w:t>
      </w:r>
    </w:p>
    <w:p w14:paraId="36C8CFEA" w14:textId="77777777" w:rsidR="00371282" w:rsidRDefault="00000000">
      <w:pPr>
        <w:pStyle w:val="21"/>
      </w:pPr>
      <w:r>
        <w:t>Результаты изучения темы</w:t>
      </w:r>
    </w:p>
    <w:p w14:paraId="50DD159B" w14:textId="77777777" w:rsidR="00371282" w:rsidRDefault="00000000">
      <w:r>
        <w:t>Студент научится выбирать показатели под цель; составлять паспорт измерения; планировать исходный и повторный замеры; рассчитывать простые доли и изменения; отличать наблюдаемую связь от причинного эффекта; формулировать ограничения и защищать итоговый проект.</w:t>
      </w:r>
    </w:p>
    <w:p w14:paraId="4C92ADBB" w14:textId="77777777" w:rsidR="00371282" w:rsidRDefault="00000000">
      <w:r>
        <w:t>Эффективность и экономичность не тождественны. Первая относится к достижению цели, вторая — к соотношению результата и ресурсов. Дешевое производство материалов не делает стратегию успешной, если аудитория по-прежнему неверно понимает предложение.</w:t>
      </w:r>
    </w:p>
    <w:p w14:paraId="321FB148" w14:textId="77777777" w:rsidR="00371282" w:rsidRDefault="00000000">
      <w:pPr>
        <w:pStyle w:val="LectureCallout"/>
        <w:keepLines/>
        <w:pBdr>
          <w:top w:val="single" w:sz="4" w:space="6" w:color="EFF5F6"/>
          <w:left w:val="single" w:sz="16" w:space="8" w:color="176B72"/>
          <w:bottom w:val="single" w:sz="4" w:space="6" w:color="EFF5F6"/>
        </w:pBdr>
        <w:shd w:val="clear" w:color="auto" w:fill="EFF5F6"/>
        <w:spacing w:before="160" w:after="240"/>
        <w:ind w:left="200" w:right="200"/>
      </w:pPr>
      <w:r>
        <w:t>План оценки составляют до реализации. Иначе возникает риск выбрать после завершения только те показатели, которые выглядят благоприятно.</w:t>
      </w:r>
    </w:p>
    <w:p w14:paraId="04E0E28A" w14:textId="77777777" w:rsidR="00371282" w:rsidRDefault="00000000">
      <w:r>
        <w:t>Итог недели — отчет о проверке или, если стратегия еще не реализована, обоснованный план измерения. Вымышленные результаты нельзя представлять как проведенное исследование. Итоговая защита связывает материалы всех предыдущих тем в единое решение.</w:t>
      </w:r>
    </w:p>
    <w:p w14:paraId="425F7145" w14:textId="77777777" w:rsidR="00371282" w:rsidRDefault="00000000">
      <w:pPr>
        <w:pStyle w:val="1"/>
        <w:pageBreakBefore/>
        <w:spacing w:before="0"/>
      </w:pPr>
      <w:bookmarkStart w:id="1" w:name="Section_02"/>
      <w:bookmarkEnd w:id="1"/>
      <w:r>
        <w:lastRenderedPageBreak/>
        <w:t>Уровни результата и соответствие показателей</w:t>
      </w:r>
    </w:p>
    <w:p w14:paraId="62893330" w14:textId="77777777" w:rsidR="00371282" w:rsidRDefault="00000000">
      <w:r>
        <w:t>Для учебного анализа выделим цепочку: сделали — распространили — заметили и поняли — изменили отношение или действие — получили более широкий результат. Это упрощение логики оценки, а не утверждение, что каждый этап автоматически вызывает следующий.</w:t>
      </w:r>
    </w:p>
    <w:p w14:paraId="447DB172" w14:textId="77777777" w:rsidR="00371282" w:rsidRDefault="00000000">
      <w:r>
        <w:t>Показатель должен отвечать цели. Если нужно прояснить специализацию, измеряют ее понимание. Если задача — уменьшить противоречия в материалах, проверяют согласованность. Количество просмотров может описывать распространение, но не заменяет эти измерения.</w:t>
      </w:r>
    </w:p>
    <w:tbl>
      <w:tblPr>
        <w:tblW w:w="9468" w:type="dxa"/>
        <w:jc w:val="center"/>
        <w:tblBorders>
          <w:top w:val="single" w:sz="4" w:space="0" w:color="CDDAE0"/>
          <w:left w:val="nil"/>
          <w:bottom w:val="single" w:sz="4" w:space="0" w:color="CDDAE0"/>
          <w:right w:val="nil"/>
          <w:insideH w:val="single" w:sz="4" w:space="0" w:color="CDDAE0"/>
          <w:insideV w:val="nil"/>
        </w:tblBorders>
        <w:tblLayout w:type="fixed"/>
        <w:tblCellMar>
          <w:top w:w="88" w:type="dxa"/>
          <w:left w:w="115" w:type="dxa"/>
          <w:bottom w:w="88" w:type="dxa"/>
          <w:right w:w="115" w:type="dxa"/>
        </w:tblCellMar>
        <w:tblLook w:val="04A0" w:firstRow="1" w:lastRow="0" w:firstColumn="1" w:lastColumn="0" w:noHBand="0" w:noVBand="1"/>
      </w:tblPr>
      <w:tblGrid>
        <w:gridCol w:w="2272"/>
        <w:gridCol w:w="3030"/>
        <w:gridCol w:w="4166"/>
      </w:tblGrid>
      <w:tr w:rsidR="00371282" w14:paraId="6A71452A" w14:textId="77777777">
        <w:trPr>
          <w:cantSplit/>
          <w:tblHeader/>
          <w:jc w:val="center"/>
        </w:trPr>
        <w:tc>
          <w:tcPr>
            <w:tcW w:w="2272" w:type="dxa"/>
            <w:shd w:val="clear" w:color="auto" w:fill="19354A"/>
          </w:tcPr>
          <w:p w14:paraId="250D49AB" w14:textId="77777777" w:rsidR="00371282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Уровень</w:t>
            </w:r>
          </w:p>
        </w:tc>
        <w:tc>
          <w:tcPr>
            <w:tcW w:w="3030" w:type="dxa"/>
            <w:shd w:val="clear" w:color="auto" w:fill="19354A"/>
          </w:tcPr>
          <w:p w14:paraId="09CFE424" w14:textId="77777777" w:rsidR="00371282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Пример показателя</w:t>
            </w:r>
          </w:p>
        </w:tc>
        <w:tc>
          <w:tcPr>
            <w:tcW w:w="4166" w:type="dxa"/>
            <w:shd w:val="clear" w:color="auto" w:fill="19354A"/>
          </w:tcPr>
          <w:p w14:paraId="076FE357" w14:textId="77777777" w:rsidR="00371282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Ограничение вывода</w:t>
            </w:r>
          </w:p>
        </w:tc>
      </w:tr>
      <w:tr w:rsidR="00371282" w14:paraId="7F1416F8" w14:textId="77777777">
        <w:trPr>
          <w:cantSplit/>
          <w:jc w:val="center"/>
        </w:trPr>
        <w:tc>
          <w:tcPr>
            <w:tcW w:w="2272" w:type="dxa"/>
            <w:shd w:val="clear" w:color="auto" w:fill="F0F4F6"/>
          </w:tcPr>
          <w:p w14:paraId="16773DD1" w14:textId="77777777" w:rsidR="00371282" w:rsidRDefault="00000000">
            <w:pPr>
              <w:pStyle w:val="LectureTable"/>
              <w:keepNext/>
              <w:spacing w:after="0"/>
            </w:pPr>
            <w:r>
              <w:t>Выполнение</w:t>
            </w:r>
          </w:p>
        </w:tc>
        <w:tc>
          <w:tcPr>
            <w:tcW w:w="3030" w:type="dxa"/>
            <w:shd w:val="clear" w:color="auto" w:fill="F0F4F6"/>
          </w:tcPr>
          <w:p w14:paraId="778B416E" w14:textId="77777777" w:rsidR="00371282" w:rsidRDefault="00000000">
            <w:pPr>
              <w:pStyle w:val="LectureTable"/>
              <w:keepNext/>
              <w:spacing w:after="0"/>
            </w:pPr>
            <w:r>
              <w:t>Подготовлены три материала</w:t>
            </w:r>
          </w:p>
        </w:tc>
        <w:tc>
          <w:tcPr>
            <w:tcW w:w="4166" w:type="dxa"/>
            <w:shd w:val="clear" w:color="auto" w:fill="F0F4F6"/>
          </w:tcPr>
          <w:p w14:paraId="345A163E" w14:textId="77777777" w:rsidR="00371282" w:rsidRDefault="00000000">
            <w:pPr>
              <w:pStyle w:val="LectureTable"/>
              <w:keepNext/>
              <w:spacing w:after="0"/>
            </w:pPr>
            <w:r>
              <w:t>Не известно, кто их увидел</w:t>
            </w:r>
          </w:p>
        </w:tc>
      </w:tr>
      <w:tr w:rsidR="00371282" w14:paraId="18C4BB78" w14:textId="77777777">
        <w:trPr>
          <w:cantSplit/>
          <w:jc w:val="center"/>
        </w:trPr>
        <w:tc>
          <w:tcPr>
            <w:tcW w:w="2272" w:type="dxa"/>
            <w:shd w:val="clear" w:color="auto" w:fill="FFFFFF"/>
          </w:tcPr>
          <w:p w14:paraId="40C22F1D" w14:textId="77777777" w:rsidR="00371282" w:rsidRDefault="00000000">
            <w:pPr>
              <w:pStyle w:val="LectureTable"/>
              <w:keepNext/>
              <w:spacing w:after="0"/>
            </w:pPr>
            <w:r>
              <w:t>Распространение</w:t>
            </w:r>
          </w:p>
        </w:tc>
        <w:tc>
          <w:tcPr>
            <w:tcW w:w="3030" w:type="dxa"/>
            <w:shd w:val="clear" w:color="auto" w:fill="FFFFFF"/>
          </w:tcPr>
          <w:p w14:paraId="749651A9" w14:textId="77777777" w:rsidR="00371282" w:rsidRDefault="00000000">
            <w:pPr>
              <w:pStyle w:val="LectureTable"/>
              <w:keepNext/>
              <w:spacing w:after="0"/>
            </w:pPr>
            <w:r>
              <w:t>Зафиксированы просмотры</w:t>
            </w:r>
          </w:p>
        </w:tc>
        <w:tc>
          <w:tcPr>
            <w:tcW w:w="4166" w:type="dxa"/>
            <w:shd w:val="clear" w:color="auto" w:fill="FFFFFF"/>
          </w:tcPr>
          <w:p w14:paraId="45C7B056" w14:textId="77777777" w:rsidR="00371282" w:rsidRDefault="00000000">
            <w:pPr>
              <w:pStyle w:val="LectureTable"/>
              <w:keepNext/>
              <w:spacing w:after="0"/>
            </w:pPr>
            <w:r>
              <w:t>Просмотр не равен пониманию</w:t>
            </w:r>
          </w:p>
        </w:tc>
      </w:tr>
      <w:tr w:rsidR="00371282" w14:paraId="184A96B1" w14:textId="77777777">
        <w:trPr>
          <w:cantSplit/>
          <w:jc w:val="center"/>
        </w:trPr>
        <w:tc>
          <w:tcPr>
            <w:tcW w:w="2272" w:type="dxa"/>
            <w:shd w:val="clear" w:color="auto" w:fill="F0F4F6"/>
          </w:tcPr>
          <w:p w14:paraId="4E58B778" w14:textId="77777777" w:rsidR="00371282" w:rsidRDefault="00000000">
            <w:pPr>
              <w:pStyle w:val="LectureTable"/>
              <w:keepNext/>
              <w:spacing w:after="0"/>
            </w:pPr>
            <w:r>
              <w:t>Понимание</w:t>
            </w:r>
          </w:p>
        </w:tc>
        <w:tc>
          <w:tcPr>
            <w:tcW w:w="3030" w:type="dxa"/>
            <w:shd w:val="clear" w:color="auto" w:fill="F0F4F6"/>
          </w:tcPr>
          <w:p w14:paraId="3C835E5F" w14:textId="77777777" w:rsidR="00371282" w:rsidRDefault="00000000">
            <w:pPr>
              <w:pStyle w:val="LectureTable"/>
              <w:keepNext/>
              <w:spacing w:after="0"/>
            </w:pPr>
            <w:r>
              <w:t>Верно определена роль автора</w:t>
            </w:r>
          </w:p>
        </w:tc>
        <w:tc>
          <w:tcPr>
            <w:tcW w:w="4166" w:type="dxa"/>
            <w:shd w:val="clear" w:color="auto" w:fill="F0F4F6"/>
          </w:tcPr>
          <w:p w14:paraId="16C82BF2" w14:textId="77777777" w:rsidR="00371282" w:rsidRDefault="00000000">
            <w:pPr>
              <w:pStyle w:val="LectureTable"/>
              <w:keepNext/>
              <w:spacing w:after="0"/>
            </w:pPr>
            <w:r>
              <w:t>Не доказано изменение поведения</w:t>
            </w:r>
          </w:p>
        </w:tc>
      </w:tr>
      <w:tr w:rsidR="00371282" w14:paraId="70BEBB47" w14:textId="77777777">
        <w:trPr>
          <w:cantSplit/>
          <w:jc w:val="center"/>
        </w:trPr>
        <w:tc>
          <w:tcPr>
            <w:tcW w:w="2272" w:type="dxa"/>
            <w:shd w:val="clear" w:color="auto" w:fill="FFFFFF"/>
          </w:tcPr>
          <w:p w14:paraId="0083CB7D" w14:textId="77777777" w:rsidR="00371282" w:rsidRDefault="00000000">
            <w:pPr>
              <w:pStyle w:val="LectureTable"/>
              <w:spacing w:after="0"/>
            </w:pPr>
            <w:r>
              <w:t>Действие</w:t>
            </w:r>
          </w:p>
        </w:tc>
        <w:tc>
          <w:tcPr>
            <w:tcW w:w="3030" w:type="dxa"/>
            <w:shd w:val="clear" w:color="auto" w:fill="FFFFFF"/>
          </w:tcPr>
          <w:p w14:paraId="5B221CF3" w14:textId="77777777" w:rsidR="00371282" w:rsidRDefault="00000000">
            <w:pPr>
              <w:pStyle w:val="LectureTable"/>
              <w:spacing w:after="0"/>
            </w:pPr>
            <w:r>
              <w:t>Получены релевантные обращения</w:t>
            </w:r>
          </w:p>
        </w:tc>
        <w:tc>
          <w:tcPr>
            <w:tcW w:w="4166" w:type="dxa"/>
            <w:shd w:val="clear" w:color="auto" w:fill="FFFFFF"/>
          </w:tcPr>
          <w:p w14:paraId="46BD8C5E" w14:textId="77777777" w:rsidR="00371282" w:rsidRDefault="00000000">
            <w:pPr>
              <w:pStyle w:val="LectureTable"/>
              <w:spacing w:after="0"/>
            </w:pPr>
            <w:r>
              <w:t>Влияют и другие обстоятельства</w:t>
            </w:r>
          </w:p>
        </w:tc>
      </w:tr>
    </w:tbl>
    <w:p w14:paraId="6023776C" w14:textId="77777777" w:rsidR="00371282" w:rsidRDefault="00371282">
      <w:pPr>
        <w:spacing w:after="0" w:line="120" w:lineRule="exact"/>
      </w:pPr>
    </w:p>
    <w:p w14:paraId="4BA941FA" w14:textId="77777777" w:rsidR="00371282" w:rsidRDefault="00000000">
      <w:r>
        <w:t>Восприятие также многомерно. Аудитория может лучше понимать предложение, но не считать его подходящим. Это не обязательно провал коммуникации: ясность иногда помогает обоснованно отказаться от нерелевантной услуги.</w:t>
      </w:r>
    </w:p>
    <w:p w14:paraId="3754E232" w14:textId="77777777" w:rsidR="00371282" w:rsidRDefault="00000000">
      <w:r>
        <w:t>Для личного проекта достаточно нескольких показателей, если каждый имеет смысл. Например: точность определения роли, понятность границ опыта и успешность поиска подтверждения. Добавление большого числа метрик без связи с вопросом усложняет интерпретацию.</w:t>
      </w:r>
    </w:p>
    <w:p w14:paraId="4E7671DA" w14:textId="77777777" w:rsidR="00371282" w:rsidRDefault="00000000">
      <w:r>
        <w:t>Не объединяйте разные уровни в одну положительную историю без промежуточных данных. «Опубликовано больше материалов, следовательно выросло доверие и улучшилась карьера» — цепочка предположений, а не установленный результат.</w:t>
      </w:r>
    </w:p>
    <w:p w14:paraId="30FAA24C" w14:textId="77777777" w:rsidR="00371282" w:rsidRDefault="00000000">
      <w:r>
        <w:t>Проверка должна допускать нейтральный или отрицательный итог. Если критерий устроен так, что любое наблюдение считается успехом, он не помогает принимать решения.</w:t>
      </w:r>
    </w:p>
    <w:p w14:paraId="1A30F8E1" w14:textId="77777777" w:rsidR="00371282" w:rsidRDefault="00000000">
      <w:pPr>
        <w:pStyle w:val="1"/>
        <w:pageBreakBefore/>
        <w:spacing w:before="0"/>
      </w:pPr>
      <w:bookmarkStart w:id="2" w:name="Section_03"/>
      <w:bookmarkEnd w:id="2"/>
      <w:r>
        <w:lastRenderedPageBreak/>
        <w:t>Паспорт показателя и критерий успеха</w:t>
      </w:r>
    </w:p>
    <w:p w14:paraId="63C89D36" w14:textId="77777777" w:rsidR="00371282" w:rsidRDefault="00000000">
      <w:r>
        <w:t>Паспорт показателя делает измерение воспроизводимым. Он включает название, смысл, единицу анализа, источник, формулу или правило кодирования, период, исходное значение, целевой ориентир и ограничения. Без этих сведений одинаковое название может скрывать разные расчеты.</w:t>
      </w:r>
    </w:p>
    <w:p w14:paraId="224419C7" w14:textId="77777777" w:rsidR="00371282" w:rsidRDefault="00000000">
      <w:r>
        <w:t>Пример: «Доля участников, верно определивших специализацию». Единица анализа — один участник; задание — прочитать заданную версию профиля и ответить на один вопрос; критерий правильности определяется до просмотра ответов; знаменатель — число участников с пригодным для анализа ответом.</w:t>
      </w:r>
    </w:p>
    <w:p w14:paraId="299DB61F" w14:textId="77777777" w:rsidR="00371282" w:rsidRDefault="00000000">
      <w:pPr>
        <w:pStyle w:val="21"/>
      </w:pPr>
      <w:r>
        <w:t>Формула доли</w:t>
      </w:r>
    </w:p>
    <w:p w14:paraId="22607A09" w14:textId="77777777" w:rsidR="00371282" w:rsidRDefault="00000000">
      <w:r>
        <w:t>Доля в процентах = число наблюдений, соответствующих критерию / число допустимых наблюдений × 100. Необходимо отдельно описать пропуски и исключения. Нельзя незаметно менять знаменатель, чтобы показатель выглядел лучше.</w:t>
      </w:r>
    </w:p>
    <w:p w14:paraId="6A367CA4" w14:textId="77777777" w:rsidR="00371282" w:rsidRDefault="00000000">
      <w:r>
        <w:t>Целевой ориентир выбирается с обоснованием: исходная проблема, ресурс проекта, практическая значимость. Он не обязан быть круглым числом и не должен выдаваться за универсальный отраслевой стандарт. Для учебного пилота допустимо сначала оценить диапазон результатов и уточнить план.</w:t>
      </w:r>
    </w:p>
    <w:p w14:paraId="47588375" w14:textId="77777777" w:rsidR="00371282" w:rsidRDefault="00000000">
      <w:r>
        <w:t>Критерий успеха может сочетать основной результат и ограничения: повысилась точность понимания, не возникло ложного впечатления о квалификации, материалы доступны аудитории. Рост одного показателя не должен оправдывать существенное нарушение другого.</w:t>
      </w:r>
    </w:p>
    <w:p w14:paraId="29B7FE37" w14:textId="77777777" w:rsidR="00371282" w:rsidRDefault="00000000">
      <w:r>
        <w:t>Определите, кто собирает и проверяет данные. При кодировании открытых ответов полезны единые правила и независимая проверка спорных случаев. Изменение критериев после знакомства с ответами фиксируется и объясняется, а не скрывается.</w:t>
      </w:r>
    </w:p>
    <w:p w14:paraId="12A04E3D" w14:textId="77777777" w:rsidR="00371282" w:rsidRDefault="00000000">
      <w:pPr>
        <w:pStyle w:val="LectureCallout"/>
        <w:keepLines/>
        <w:pBdr>
          <w:top w:val="single" w:sz="4" w:space="6" w:color="EFF5F6"/>
          <w:left w:val="single" w:sz="16" w:space="8" w:color="176B72"/>
          <w:bottom w:val="single" w:sz="4" w:space="6" w:color="EFF5F6"/>
        </w:pBdr>
        <w:shd w:val="clear" w:color="auto" w:fill="EFF5F6"/>
        <w:spacing w:before="160" w:after="240"/>
        <w:ind w:left="200" w:right="200"/>
      </w:pPr>
      <w:r>
        <w:t>Хороший показатель имеет понятный числитель, знаменатель и смысл. Красивое название без правила измерения не делает его доказательством эффективности.</w:t>
      </w:r>
    </w:p>
    <w:p w14:paraId="2AE62DDD" w14:textId="77777777" w:rsidR="00371282" w:rsidRDefault="00000000">
      <w:pPr>
        <w:pStyle w:val="1"/>
        <w:pageBreakBefore/>
        <w:spacing w:before="0"/>
      </w:pPr>
      <w:bookmarkStart w:id="3" w:name="Section_04"/>
      <w:bookmarkEnd w:id="3"/>
      <w:r>
        <w:lastRenderedPageBreak/>
        <w:t>Дизайн проверки и сопоставимость</w:t>
      </w:r>
    </w:p>
    <w:p w14:paraId="5B7A377F" w14:textId="77777777" w:rsidR="00371282" w:rsidRDefault="00000000">
      <w:r>
        <w:t>Исходный замер показывает ситуацию до изменения, повторный — после. Для сопоставления нужно сохранить вопрос, способ предъявления материала, правила анализа и релевантные условия. Методические рекомендации AAPOR и Pew полезны для прозрачности процедуры и формулировок вопросов [2; 3].</w:t>
      </w:r>
    </w:p>
    <w:p w14:paraId="7AAFF686" w14:textId="77777777" w:rsidR="00371282" w:rsidRDefault="00000000">
      <w:r>
        <w:t>Если в первом замере участвовали знакомые автора, а во втором — люди другой профессии, различие может быть связано с составом групп. Если изменились и текст, и время просмотра, и инструкция, трудно определить роль каждого изменения.</w:t>
      </w:r>
    </w:p>
    <w:p w14:paraId="4B916864" w14:textId="77777777" w:rsidR="00371282" w:rsidRDefault="00000000">
      <w:pPr>
        <w:pStyle w:val="21"/>
      </w:pPr>
      <w:r>
        <w:t>Два учебных варианта</w:t>
      </w:r>
    </w:p>
    <w:p w14:paraId="245EABF5" w14:textId="77777777" w:rsidR="00371282" w:rsidRDefault="00000000">
      <w:r>
        <w:t>Первый вариант — те же участники оценивают материал повторно. Он позволяет сопоставлять индивидуальные ответы, но знакомство с заданием может влиять на результат. Второй — две группы получают разные версии при сопоставимых условиях. Различия состава групп также требуют учета.</w:t>
      </w:r>
    </w:p>
    <w:p w14:paraId="5EF7917F" w14:textId="77777777" w:rsidR="00371282" w:rsidRDefault="00000000">
      <w:r>
        <w:t>Случайное распределение участников между версиями помогает уменьшать систематические различия в условиях конкретного эксперимента. Но небольшой учебный набор участников не становится от этого представительной выборкой всей целевой аудитории.</w:t>
      </w:r>
    </w:p>
    <w:p w14:paraId="5A959784" w14:textId="77777777" w:rsidR="00371282" w:rsidRDefault="00000000">
      <w:r>
        <w:t>Если используется наблюдательное сравнение «до — после», формулируйте вывод осторожно: изменение зафиксировано после реализации, но причинное влияние может быть не установлено. Дополнительные события, новый состав аудитории и накопление опыта остаются возможными объяснениями.</w:t>
      </w:r>
    </w:p>
    <w:p w14:paraId="37E28FC0" w14:textId="77777777" w:rsidR="00371282" w:rsidRDefault="00000000">
      <w:r>
        <w:t>Для курсового проекта достаточно честно описанного пилота. Не требуется изображать масштабное исследование при нескольких участниках. Вместо неоправданной статистической значимости покажите процедуру, исходные данные и то, какие вопросы остаются открытыми.</w:t>
      </w:r>
    </w:p>
    <w:p w14:paraId="09B188B4" w14:textId="77777777" w:rsidR="00371282" w:rsidRDefault="00000000">
      <w:r>
        <w:t>Перед запуском проверьте задание на понятность. Если участник не понимает вопрос, его ответ может отражать недостаток инструмента, а не имидж объекта. Пилотирование следует отделять от основного анализа.</w:t>
      </w:r>
    </w:p>
    <w:p w14:paraId="7AD60D98" w14:textId="77777777" w:rsidR="00371282" w:rsidRDefault="00000000">
      <w:pPr>
        <w:pStyle w:val="1"/>
        <w:pageBreakBefore/>
        <w:spacing w:before="0"/>
      </w:pPr>
      <w:bookmarkStart w:id="4" w:name="Section_05"/>
      <w:bookmarkEnd w:id="4"/>
      <w:r>
        <w:lastRenderedPageBreak/>
        <w:t>Обработка данных и прозрачные расчеты</w:t>
      </w:r>
    </w:p>
    <w:p w14:paraId="00D486DE" w14:textId="77777777" w:rsidR="00371282" w:rsidRDefault="00000000">
      <w:r>
        <w:t>Сначала проверяют записи: дубли, пропуски, соответствие условиям участия и корректность кодирования. Исключения должны иметь заранее понятное основание. Нельзя удалять неблагоприятный ответ только потому, что он не совпадает с ожиданием автора.</w:t>
      </w:r>
    </w:p>
    <w:p w14:paraId="7446B5DB" w14:textId="77777777" w:rsidR="00371282" w:rsidRDefault="00000000">
      <w:r>
        <w:t>При небольших выборках показывайте абсолютные числа вместе с процентами. Значения «8 из 20» и «40%» дополняют друг друга. Без числа наблюдений читатель не может оценить масштаб основания.</w:t>
      </w:r>
    </w:p>
    <w:p w14:paraId="57BB9023" w14:textId="77777777" w:rsidR="00371282" w:rsidRDefault="00000000">
      <w:pPr>
        <w:pStyle w:val="21"/>
      </w:pPr>
      <w:r>
        <w:t>Изменение доли</w:t>
      </w:r>
    </w:p>
    <w:p w14:paraId="51958494" w14:textId="77777777" w:rsidR="00371282" w:rsidRDefault="00000000">
      <w:r>
        <w:t>В условном примере до изменения роль верно назвали 8 из 20 участников, после — 14 из 20. Доли равны 40% и 70%. Разница составляет 30 процентных пунктов. Относительный прирост к исходному уровню: (70 - 40) / 40 × 100 = 75%.</w:t>
      </w:r>
    </w:p>
    <w:p w14:paraId="700BF0E3" w14:textId="77777777" w:rsidR="00371282" w:rsidRDefault="00000000">
      <w:r>
        <w:t>Эти два выражения отвечают разным вопросам. Фраза «рост на 30%» неоднозначна и не заменяет указания процентных пунктов. При исходном значении ноль относительный прирост по такой формуле не рассчитывается; нужно выбрать другое описание.</w:t>
      </w:r>
    </w:p>
    <w:p w14:paraId="15252D7A" w14:textId="77777777" w:rsidR="00371282" w:rsidRDefault="00000000">
      <w:r>
        <w:t>Оценки по шкале от 1 до 5 полезно показывать распределением ответов. Среднее может использоваться как условное описательное сокращение при пояснении допущений, но не должно скрывать разные профили ответов и порядковый характер отдельного пункта.</w:t>
      </w:r>
    </w:p>
    <w:p w14:paraId="4E4E6248" w14:textId="77777777" w:rsidR="00371282" w:rsidRDefault="00000000">
      <w:r>
        <w:t>Открытые ответы анализируют по заранее описанным категориям. Приведите обезличенные примеры и объясните спорные случаи. Автоматическая классификация, в том числе с помощью ИИ, требует проверки, особенно если на ее основе делается оценка людей или организации.</w:t>
      </w:r>
    </w:p>
    <w:p w14:paraId="301D5081" w14:textId="77777777" w:rsidR="00371282" w:rsidRDefault="00000000">
      <w:pPr>
        <w:pStyle w:val="LectureCallout"/>
        <w:keepLines/>
        <w:pBdr>
          <w:top w:val="single" w:sz="4" w:space="6" w:color="EFF5F6"/>
          <w:left w:val="single" w:sz="16" w:space="8" w:color="176B72"/>
          <w:bottom w:val="single" w:sz="4" w:space="6" w:color="EFF5F6"/>
        </w:pBdr>
        <w:shd w:val="clear" w:color="auto" w:fill="EFF5F6"/>
        <w:spacing w:before="160" w:after="240"/>
        <w:ind w:left="200" w:right="200"/>
      </w:pPr>
      <w:r>
        <w:t>Арифметически правильный расчет может поддерживать неверный вывод, если группы несопоставимы или показатель не соответствует цели. Проверяются и числа, и логика интерпретации.</w:t>
      </w:r>
    </w:p>
    <w:p w14:paraId="6FA6315D" w14:textId="77777777" w:rsidR="00371282" w:rsidRDefault="00000000">
      <w:pPr>
        <w:pStyle w:val="1"/>
        <w:pageBreakBefore/>
        <w:spacing w:before="0"/>
      </w:pPr>
      <w:bookmarkStart w:id="5" w:name="Section_06"/>
      <w:bookmarkEnd w:id="5"/>
      <w:r>
        <w:lastRenderedPageBreak/>
        <w:t>Панель результатов и принятие решения</w:t>
      </w:r>
    </w:p>
    <w:p w14:paraId="55C0A815" w14:textId="77777777" w:rsidR="00371282" w:rsidRDefault="00000000">
      <w:r>
        <w:t>Панель результатов — компактное представление показателей, а не набор максимального числа графиков. Для учебного проекта достаточно таблицы: цель, исходное значение, итог, источник, ограничение и решение. Подробные данные сохраняются в приложении.</w:t>
      </w:r>
    </w:p>
    <w:p w14:paraId="5AFD0BAA" w14:textId="77777777" w:rsidR="00371282" w:rsidRDefault="00000000">
      <w:r>
        <w:t>Включайте не только положительные наблюдения. Например, точность понимания роли выросла, но часть участников ошибочно решила, что автор имеет завершенную профессиональную квалификацию. Такая ситуация требует корректировки, даже если общий интерес к профилю увеличился.</w:t>
      </w:r>
    </w:p>
    <w:p w14:paraId="38B55106" w14:textId="77777777" w:rsidR="00371282" w:rsidRDefault="00000000">
      <w:pPr>
        <w:pStyle w:val="21"/>
      </w:pPr>
      <w:r>
        <w:t>Интерпретация сочетаний</w:t>
      </w:r>
    </w:p>
    <w:p w14:paraId="1EF22BF9" w14:textId="77777777" w:rsidR="00371282" w:rsidRDefault="00000000">
      <w:r>
        <w:t>Высокий охват при слабом понимании указывает на необходимость проверить содержание и контекст предъявления. Хорошее понимание при малом охвате ставит вопрос о доступности материала. Улучшение понимания без роста обращений не доказывает бесполезности: обращение зависит от потребности и других условий.</w:t>
      </w:r>
    </w:p>
    <w:p w14:paraId="4B8DAC4C" w14:textId="77777777" w:rsidR="00371282" w:rsidRDefault="00000000">
      <w:r>
        <w:t>Не назначайте вес каждому показателю только ради получения общего «индекса успеха». Веса предполагают содержательное обоснование. Для небольшого проекта профиль отдельных результатов часто понятнее искусственного суммарного балла.</w:t>
      </w:r>
    </w:p>
    <w:p w14:paraId="1517CC55" w14:textId="77777777" w:rsidR="00371282" w:rsidRDefault="00000000">
      <w:r>
        <w:t>Решения могут быть разными: сохранить вариант, уточнить сообщение, изменить канал, пересмотреть исходное предложение или собрать дополнительные данные. Укажите, какое наблюдение привело к решению и что будет проверяться далее.</w:t>
      </w:r>
    </w:p>
    <w:p w14:paraId="4D06A1DC" w14:textId="77777777" w:rsidR="00371282" w:rsidRDefault="00000000">
      <w:r>
        <w:t>Ресурсы фиксируются отдельно: время подготовки, число согласований, доступные затраты. Сравнивать экономичность вариантов имеет смысл при сопоставимой задаче и качестве результата. Более дешевый вариант с недостоверным обещанием нельзя считать предпочтительным только из-за стоимости.</w:t>
      </w:r>
    </w:p>
    <w:p w14:paraId="127C4B9E" w14:textId="77777777" w:rsidR="00371282" w:rsidRDefault="00000000">
      <w:r>
        <w:t>Панель не заменяет аналитическое пояснение. Короткий вывод должен отвечать: что изменилось, насколько надежно это известно и какое действие обосновано. Неясность необходимо отражать прямо, а не скрывать цветовой маркировкой.</w:t>
      </w:r>
    </w:p>
    <w:p w14:paraId="456DA5F2" w14:textId="77777777" w:rsidR="00371282" w:rsidRDefault="00000000">
      <w:pPr>
        <w:pStyle w:val="1"/>
        <w:pageBreakBefore/>
        <w:spacing w:before="0"/>
      </w:pPr>
      <w:bookmarkStart w:id="6" w:name="Section_07"/>
      <w:bookmarkEnd w:id="6"/>
      <w:r>
        <w:lastRenderedPageBreak/>
        <w:t>Структура отчета и пределы выводов</w:t>
      </w:r>
    </w:p>
    <w:p w14:paraId="1A83FB93" w14:textId="77777777" w:rsidR="00371282" w:rsidRDefault="00000000">
      <w:r>
        <w:t>Итоговый отчет начинается с задачи и исходного основания. Затем описываются аудитория, материалы, процедура, результаты, ограничения и решения. Читатель должен иметь возможность проследить путь от данных к рекомендации без доступа к намерениям автора.</w:t>
      </w:r>
    </w:p>
    <w:p w14:paraId="5456F4E4" w14:textId="77777777" w:rsidR="00371282" w:rsidRDefault="00000000">
      <w:r>
        <w:t>Для каждого значимого вывода полезна связка: утверждение — наблюдение — интерпретация — ограничение. Например: «В этой учебной группе новая версия лучше объясняла роль; правильных ответов стало больше; вероятное объяснение — явное обозначение вклада; причинный эффект не установлен из-за отсутствия контрольной группы».</w:t>
      </w:r>
    </w:p>
    <w:p w14:paraId="26FDBB67" w14:textId="77777777" w:rsidR="00371282" w:rsidRDefault="00000000">
      <w:pPr>
        <w:pStyle w:val="21"/>
      </w:pPr>
      <w:r>
        <w:t>Разные статусы проекта</w:t>
      </w:r>
    </w:p>
    <w:p w14:paraId="6F0B1975" w14:textId="77777777" w:rsidR="00371282" w:rsidRDefault="00000000">
      <w:r>
        <w:t>Реализованный проект содержит сведения о выполненных действиях и фактическом измерении. Нереализованная стратегия — подготовленные материалы и план оценки. Пилот — ограниченная проверка, не равная полному внедрению. Эти статусы должны быть указаны на первой странице отчета.</w:t>
      </w:r>
    </w:p>
    <w:p w14:paraId="17DCA2CE" w14:textId="77777777" w:rsidR="00371282" w:rsidRDefault="00000000">
      <w:r>
        <w:t>Не скрывайте отсутствие исходного замера. В таком случае можно описать понимание итоговой версии, но нельзя вычислить изменение относительно неизвестного прошлого. Аналогично отсутствие ответов не считается положительной оценкой.</w:t>
      </w:r>
    </w:p>
    <w:p w14:paraId="065E71B6" w14:textId="77777777" w:rsidR="00371282" w:rsidRDefault="00000000">
      <w:r>
        <w:t>Ограничения пишутся конкретно: малый объем, удобная выборка, несопоставимые группы, эффект повторного знакомства, неполная регистрация обращений. Общая фраза «исследование имеет ограничения» не помогает оценить допустимость вывода.</w:t>
      </w:r>
    </w:p>
    <w:p w14:paraId="703D016C" w14:textId="77777777" w:rsidR="00371282" w:rsidRDefault="00000000">
      <w:r>
        <w:t>Рекомендация может быть обоснована даже при неполной определенности, если указаны основания и риск. Например, исправление явного противоречия в датах не требует доказательства роста доверия. Но обещание коммерческого эффекта требует другого уровня данных.</w:t>
      </w:r>
    </w:p>
    <w:p w14:paraId="6F6C6FD0" w14:textId="77777777" w:rsidR="00371282" w:rsidRDefault="00000000">
      <w:pPr>
        <w:pStyle w:val="LectureCallout"/>
        <w:keepLines/>
        <w:pBdr>
          <w:top w:val="single" w:sz="4" w:space="6" w:color="EFF5F6"/>
          <w:left w:val="single" w:sz="16" w:space="8" w:color="176B72"/>
          <w:bottom w:val="single" w:sz="4" w:space="6" w:color="EFF5F6"/>
        </w:pBdr>
        <w:shd w:val="clear" w:color="auto" w:fill="EFF5F6"/>
        <w:spacing w:before="160" w:after="240"/>
        <w:ind w:left="200" w:right="200"/>
      </w:pPr>
      <w:r>
        <w:t>Сильный отчет не делает результат крупнее, чем он есть. Он точно показывает выполненную работу, доступные доказательства и следующий проверяемый шаг.</w:t>
      </w:r>
    </w:p>
    <w:p w14:paraId="2E0A67D7" w14:textId="77777777" w:rsidR="00371282" w:rsidRDefault="00000000">
      <w:pPr>
        <w:pStyle w:val="1"/>
        <w:pageBreakBefore/>
        <w:spacing w:before="0"/>
      </w:pPr>
      <w:bookmarkStart w:id="7" w:name="Section_08"/>
      <w:bookmarkEnd w:id="7"/>
      <w:r>
        <w:lastRenderedPageBreak/>
        <w:t>Учебный кейс: рост просмотров и понимание роли</w:t>
      </w:r>
    </w:p>
    <w:p w14:paraId="603E5E86" w14:textId="77777777" w:rsidR="00371282" w:rsidRDefault="00000000">
      <w:r>
        <w:t>Все данные кейса условные. До изменения профиль получил 200 просмотров за выбранный период, после — 500. В двух отдельных учебных проверках по 20 участников роль автора верно определили соответственно 8 и 14 человек. Во второй проверке трое приписали автору квалификацию, которой у него нет.</w:t>
      </w:r>
    </w:p>
    <w:p w14:paraId="53BD1617" w14:textId="77777777" w:rsidR="00371282" w:rsidRDefault="00000000">
      <w:pPr>
        <w:pStyle w:val="21"/>
      </w:pPr>
      <w:r>
        <w:t>Что можно рассчитать</w:t>
      </w:r>
    </w:p>
    <w:p w14:paraId="18056146" w14:textId="77777777" w:rsidR="00371282" w:rsidRDefault="00000000">
      <w:r>
        <w:t>Просмотры увеличились на 300, или на 150% к исходному уровню: (500 - 200) / 200 × 100. Доля правильного определения роли выросла с 40% до 70%, то есть на 30 процентных пунктов. При этом группы были отдельными, а их сопоставимость не установлена.</w:t>
      </w:r>
    </w:p>
    <w:p w14:paraId="21718A01" w14:textId="77777777" w:rsidR="00371282" w:rsidRDefault="00000000">
      <w:pPr>
        <w:pStyle w:val="21"/>
      </w:pPr>
      <w:r>
        <w:t>Чего данные не доказывают</w:t>
      </w:r>
    </w:p>
    <w:p w14:paraId="1BC81E75" w14:textId="77777777" w:rsidR="00371282" w:rsidRDefault="00000000">
      <w:r>
        <w:t>Нельзя утверждать, что изменение профиля вызвало весь рост просмотров или улучшило трудоустройство. Не известно, как менялись продвижение и состав аудитории. Также нельзя объявлять стратегию безусловно успешной: появилась или сохранилась существенная ошибка в понимании квалификации.</w:t>
      </w:r>
    </w:p>
    <w:p w14:paraId="67453D07" w14:textId="77777777" w:rsidR="00371282" w:rsidRDefault="00000000">
      <w:r>
        <w:t>Обоснованное решение — уточнить статус обучения и проектов, затем повторить проверку по одинаковой процедуре. В следующем замере необходимо отдельно оценивать понимание роли и границ квалификации. Увеличение просмотров остается показателем распространения, а не заменой точности.</w:t>
      </w:r>
    </w:p>
    <w:p w14:paraId="66431D2B" w14:textId="77777777" w:rsidR="00371282" w:rsidRDefault="00000000">
      <w:r>
        <w:t>Отчет должен показать оба результата: больше правильных ответов в наблюдавшейся группе и наличие ошибочного вывода у трех участников. Неблагоприятное наблюдение не исключают, а используют для улучшения решения.</w:t>
      </w:r>
    </w:p>
    <w:p w14:paraId="37C2DC7A" w14:textId="77777777" w:rsidR="00371282" w:rsidRDefault="00000000">
      <w:r>
        <w:t>Кейс демонстрирует ценность системы показателей. Одна эффектная цифра создала бы неполную картину; несколько связанных критериев позволяют выбрать конкретную корректировку и обозначить, какие выводы требуют дополнительной проверки.</w:t>
      </w:r>
    </w:p>
    <w:p w14:paraId="499116B3" w14:textId="77777777" w:rsidR="00371282" w:rsidRDefault="00000000">
      <w:r>
        <w:t>Для обсуждения: каким должен быть вопрос, проверяющий границы квалификации, чтобы он не подсказывал участнику желательный ответ?</w:t>
      </w:r>
    </w:p>
    <w:p w14:paraId="5E20BDD2" w14:textId="77777777" w:rsidR="00371282" w:rsidRDefault="00000000">
      <w:pPr>
        <w:pStyle w:val="1"/>
        <w:pageBreakBefore/>
        <w:spacing w:before="0"/>
      </w:pPr>
      <w:bookmarkStart w:id="8" w:name="Section_09"/>
      <w:bookmarkEnd w:id="8"/>
      <w:r>
        <w:lastRenderedPageBreak/>
        <w:t>Итоговый проект и критерии защиты</w:t>
      </w:r>
    </w:p>
    <w:p w14:paraId="291F179A" w14:textId="77777777" w:rsidR="00371282" w:rsidRDefault="00000000">
      <w:r>
        <w:t>Соберите стратегию из материалов предыдущих недель: задача и объект; аудитории; исходный аудит; позиционирование; сообщения и подтверждения; визуальные, речевые и цифровые решения; риски; план реализации и оценка. Не все инструменты обязательны: выбор должен вытекать из проблемы.</w:t>
      </w:r>
    </w:p>
    <w:p w14:paraId="28D94185" w14:textId="77777777" w:rsidR="00371282" w:rsidRDefault="00000000">
      <w:r>
        <w:t>Представьте отчет ориентировочно на 12–18 страниц и приложения с материалами. Это объем студенческого проекта, а не данной лекции. Для защиты подготовьте краткое выступление и будьте готовы объяснить происхождение данных, альтернативные решения и ограничения.</w:t>
      </w:r>
    </w:p>
    <w:tbl>
      <w:tblPr>
        <w:tblW w:w="9468" w:type="dxa"/>
        <w:jc w:val="center"/>
        <w:tblBorders>
          <w:top w:val="single" w:sz="4" w:space="0" w:color="CDDAE0"/>
          <w:left w:val="nil"/>
          <w:bottom w:val="single" w:sz="4" w:space="0" w:color="CDDAE0"/>
          <w:right w:val="nil"/>
          <w:insideH w:val="single" w:sz="4" w:space="0" w:color="CDDAE0"/>
          <w:insideV w:val="nil"/>
        </w:tblBorders>
        <w:tblLayout w:type="fixed"/>
        <w:tblCellMar>
          <w:top w:w="88" w:type="dxa"/>
          <w:left w:w="115" w:type="dxa"/>
          <w:bottom w:w="88" w:type="dxa"/>
          <w:right w:w="115" w:type="dxa"/>
        </w:tblCellMar>
        <w:tblLook w:val="04A0" w:firstRow="1" w:lastRow="0" w:firstColumn="1" w:lastColumn="0" w:noHBand="0" w:noVBand="1"/>
      </w:tblPr>
      <w:tblGrid>
        <w:gridCol w:w="2272"/>
        <w:gridCol w:w="3030"/>
        <w:gridCol w:w="4166"/>
      </w:tblGrid>
      <w:tr w:rsidR="00371282" w14:paraId="38AFFF01" w14:textId="77777777">
        <w:trPr>
          <w:cantSplit/>
          <w:tblHeader/>
          <w:jc w:val="center"/>
        </w:trPr>
        <w:tc>
          <w:tcPr>
            <w:tcW w:w="2272" w:type="dxa"/>
            <w:shd w:val="clear" w:color="auto" w:fill="19354A"/>
          </w:tcPr>
          <w:p w14:paraId="31B3453D" w14:textId="77777777" w:rsidR="00371282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Критерий итогового проекта</w:t>
            </w:r>
          </w:p>
        </w:tc>
        <w:tc>
          <w:tcPr>
            <w:tcW w:w="3030" w:type="dxa"/>
            <w:shd w:val="clear" w:color="auto" w:fill="19354A"/>
          </w:tcPr>
          <w:p w14:paraId="4573F84C" w14:textId="77777777" w:rsidR="00371282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Максимум</w:t>
            </w:r>
          </w:p>
        </w:tc>
        <w:tc>
          <w:tcPr>
            <w:tcW w:w="4166" w:type="dxa"/>
            <w:shd w:val="clear" w:color="auto" w:fill="19354A"/>
          </w:tcPr>
          <w:p w14:paraId="0D094BDC" w14:textId="77777777" w:rsidR="00371282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Что проверяется</w:t>
            </w:r>
          </w:p>
        </w:tc>
      </w:tr>
      <w:tr w:rsidR="00371282" w14:paraId="5DC91072" w14:textId="77777777">
        <w:trPr>
          <w:cantSplit/>
          <w:jc w:val="center"/>
        </w:trPr>
        <w:tc>
          <w:tcPr>
            <w:tcW w:w="2272" w:type="dxa"/>
            <w:shd w:val="clear" w:color="auto" w:fill="F0F4F6"/>
          </w:tcPr>
          <w:p w14:paraId="52D69929" w14:textId="77777777" w:rsidR="00371282" w:rsidRDefault="00000000">
            <w:pPr>
              <w:pStyle w:val="LectureTable"/>
              <w:keepNext/>
              <w:spacing w:after="0"/>
            </w:pPr>
            <w:r>
              <w:t>Задача и аудитории</w:t>
            </w:r>
          </w:p>
        </w:tc>
        <w:tc>
          <w:tcPr>
            <w:tcW w:w="3030" w:type="dxa"/>
            <w:shd w:val="clear" w:color="auto" w:fill="F0F4F6"/>
          </w:tcPr>
          <w:p w14:paraId="0DBEA4E5" w14:textId="77777777" w:rsidR="00371282" w:rsidRDefault="00000000">
            <w:pPr>
              <w:pStyle w:val="LectureTable"/>
              <w:keepNext/>
              <w:spacing w:after="0"/>
            </w:pPr>
            <w:r>
              <w:t>15</w:t>
            </w:r>
          </w:p>
        </w:tc>
        <w:tc>
          <w:tcPr>
            <w:tcW w:w="4166" w:type="dxa"/>
            <w:shd w:val="clear" w:color="auto" w:fill="F0F4F6"/>
          </w:tcPr>
          <w:p w14:paraId="65C8A75A" w14:textId="77777777" w:rsidR="00371282" w:rsidRDefault="00000000">
            <w:pPr>
              <w:pStyle w:val="LectureTable"/>
              <w:keepNext/>
              <w:spacing w:after="0"/>
            </w:pPr>
            <w:r>
              <w:t>Ясность проблемы и контекста</w:t>
            </w:r>
          </w:p>
        </w:tc>
      </w:tr>
      <w:tr w:rsidR="00371282" w14:paraId="05B418FB" w14:textId="77777777">
        <w:trPr>
          <w:cantSplit/>
          <w:jc w:val="center"/>
        </w:trPr>
        <w:tc>
          <w:tcPr>
            <w:tcW w:w="2272" w:type="dxa"/>
            <w:shd w:val="clear" w:color="auto" w:fill="FFFFFF"/>
          </w:tcPr>
          <w:p w14:paraId="0588BCB6" w14:textId="77777777" w:rsidR="00371282" w:rsidRDefault="00000000">
            <w:pPr>
              <w:pStyle w:val="LectureTable"/>
              <w:keepNext/>
              <w:spacing w:after="0"/>
            </w:pPr>
            <w:r>
              <w:t>Диагностика</w:t>
            </w:r>
          </w:p>
        </w:tc>
        <w:tc>
          <w:tcPr>
            <w:tcW w:w="3030" w:type="dxa"/>
            <w:shd w:val="clear" w:color="auto" w:fill="FFFFFF"/>
          </w:tcPr>
          <w:p w14:paraId="69BC36AE" w14:textId="77777777" w:rsidR="00371282" w:rsidRDefault="00000000">
            <w:pPr>
              <w:pStyle w:val="LectureTable"/>
              <w:keepNext/>
              <w:spacing w:after="0"/>
            </w:pPr>
            <w:r>
              <w:t>20</w:t>
            </w:r>
          </w:p>
        </w:tc>
        <w:tc>
          <w:tcPr>
            <w:tcW w:w="4166" w:type="dxa"/>
            <w:shd w:val="clear" w:color="auto" w:fill="FFFFFF"/>
          </w:tcPr>
          <w:p w14:paraId="748AA3A0" w14:textId="77777777" w:rsidR="00371282" w:rsidRDefault="00000000">
            <w:pPr>
              <w:pStyle w:val="LectureTable"/>
              <w:keepNext/>
              <w:spacing w:after="0"/>
            </w:pPr>
            <w:r>
              <w:t>Качество данных и разграничение выводов</w:t>
            </w:r>
          </w:p>
        </w:tc>
      </w:tr>
      <w:tr w:rsidR="00371282" w14:paraId="193095C3" w14:textId="77777777">
        <w:trPr>
          <w:cantSplit/>
          <w:jc w:val="center"/>
        </w:trPr>
        <w:tc>
          <w:tcPr>
            <w:tcW w:w="2272" w:type="dxa"/>
            <w:shd w:val="clear" w:color="auto" w:fill="F0F4F6"/>
          </w:tcPr>
          <w:p w14:paraId="692EFF5E" w14:textId="77777777" w:rsidR="00371282" w:rsidRDefault="00000000">
            <w:pPr>
              <w:pStyle w:val="LectureTable"/>
              <w:keepNext/>
              <w:spacing w:after="0"/>
            </w:pPr>
            <w:r>
              <w:t>Стратегия</w:t>
            </w:r>
          </w:p>
        </w:tc>
        <w:tc>
          <w:tcPr>
            <w:tcW w:w="3030" w:type="dxa"/>
            <w:shd w:val="clear" w:color="auto" w:fill="F0F4F6"/>
          </w:tcPr>
          <w:p w14:paraId="4B079D1A" w14:textId="77777777" w:rsidR="00371282" w:rsidRDefault="00000000">
            <w:pPr>
              <w:pStyle w:val="LectureTable"/>
              <w:keepNext/>
              <w:spacing w:after="0"/>
            </w:pPr>
            <w:r>
              <w:t>20</w:t>
            </w:r>
          </w:p>
        </w:tc>
        <w:tc>
          <w:tcPr>
            <w:tcW w:w="4166" w:type="dxa"/>
            <w:shd w:val="clear" w:color="auto" w:fill="F0F4F6"/>
          </w:tcPr>
          <w:p w14:paraId="7E22D41F" w14:textId="77777777" w:rsidR="00371282" w:rsidRDefault="00000000">
            <w:pPr>
              <w:pStyle w:val="LectureTable"/>
              <w:keepNext/>
              <w:spacing w:after="0"/>
            </w:pPr>
            <w:r>
              <w:t>Связь решений с выявленной причиной</w:t>
            </w:r>
          </w:p>
        </w:tc>
      </w:tr>
      <w:tr w:rsidR="00371282" w14:paraId="0866078D" w14:textId="77777777">
        <w:trPr>
          <w:cantSplit/>
          <w:jc w:val="center"/>
        </w:trPr>
        <w:tc>
          <w:tcPr>
            <w:tcW w:w="2272" w:type="dxa"/>
            <w:shd w:val="clear" w:color="auto" w:fill="FFFFFF"/>
          </w:tcPr>
          <w:p w14:paraId="77EE0DE9" w14:textId="77777777" w:rsidR="00371282" w:rsidRDefault="00000000">
            <w:pPr>
              <w:pStyle w:val="LectureTable"/>
              <w:keepNext/>
              <w:spacing w:after="0"/>
            </w:pPr>
            <w:r>
              <w:t>Материалы</w:t>
            </w:r>
          </w:p>
        </w:tc>
        <w:tc>
          <w:tcPr>
            <w:tcW w:w="3030" w:type="dxa"/>
            <w:shd w:val="clear" w:color="auto" w:fill="FFFFFF"/>
          </w:tcPr>
          <w:p w14:paraId="0298AD11" w14:textId="77777777" w:rsidR="00371282" w:rsidRDefault="00000000">
            <w:pPr>
              <w:pStyle w:val="LectureTable"/>
              <w:keepNext/>
              <w:spacing w:after="0"/>
            </w:pPr>
            <w:r>
              <w:t>20</w:t>
            </w:r>
          </w:p>
        </w:tc>
        <w:tc>
          <w:tcPr>
            <w:tcW w:w="4166" w:type="dxa"/>
            <w:shd w:val="clear" w:color="auto" w:fill="FFFFFF"/>
          </w:tcPr>
          <w:p w14:paraId="36341DBF" w14:textId="77777777" w:rsidR="00371282" w:rsidRDefault="00000000">
            <w:pPr>
              <w:pStyle w:val="LectureTable"/>
              <w:keepNext/>
              <w:spacing w:after="0"/>
            </w:pPr>
            <w:r>
              <w:t>Согласованность и пригодность к задаче</w:t>
            </w:r>
          </w:p>
        </w:tc>
      </w:tr>
      <w:tr w:rsidR="00371282" w14:paraId="25E15F80" w14:textId="77777777">
        <w:trPr>
          <w:cantSplit/>
          <w:jc w:val="center"/>
        </w:trPr>
        <w:tc>
          <w:tcPr>
            <w:tcW w:w="2272" w:type="dxa"/>
            <w:shd w:val="clear" w:color="auto" w:fill="F0F4F6"/>
          </w:tcPr>
          <w:p w14:paraId="4D3C6A90" w14:textId="77777777" w:rsidR="00371282" w:rsidRDefault="00000000">
            <w:pPr>
              <w:pStyle w:val="LectureTable"/>
              <w:keepNext/>
              <w:spacing w:after="0"/>
            </w:pPr>
            <w:r>
              <w:t>Оценка</w:t>
            </w:r>
          </w:p>
        </w:tc>
        <w:tc>
          <w:tcPr>
            <w:tcW w:w="3030" w:type="dxa"/>
            <w:shd w:val="clear" w:color="auto" w:fill="F0F4F6"/>
          </w:tcPr>
          <w:p w14:paraId="21D0F4F3" w14:textId="77777777" w:rsidR="00371282" w:rsidRDefault="00000000">
            <w:pPr>
              <w:pStyle w:val="LectureTable"/>
              <w:keepNext/>
              <w:spacing w:after="0"/>
            </w:pPr>
            <w:r>
              <w:t>15</w:t>
            </w:r>
          </w:p>
        </w:tc>
        <w:tc>
          <w:tcPr>
            <w:tcW w:w="4166" w:type="dxa"/>
            <w:shd w:val="clear" w:color="auto" w:fill="F0F4F6"/>
          </w:tcPr>
          <w:p w14:paraId="6851D190" w14:textId="77777777" w:rsidR="00371282" w:rsidRDefault="00000000">
            <w:pPr>
              <w:pStyle w:val="LectureTable"/>
              <w:keepNext/>
              <w:spacing w:after="0"/>
            </w:pPr>
            <w:r>
              <w:t>Показатели, процедура и ограничения</w:t>
            </w:r>
          </w:p>
        </w:tc>
      </w:tr>
      <w:tr w:rsidR="00371282" w14:paraId="59CD35F0" w14:textId="77777777">
        <w:trPr>
          <w:cantSplit/>
          <w:jc w:val="center"/>
        </w:trPr>
        <w:tc>
          <w:tcPr>
            <w:tcW w:w="2272" w:type="dxa"/>
            <w:shd w:val="clear" w:color="auto" w:fill="FFFFFF"/>
          </w:tcPr>
          <w:p w14:paraId="52197157" w14:textId="77777777" w:rsidR="00371282" w:rsidRDefault="00000000">
            <w:pPr>
              <w:pStyle w:val="LectureTable"/>
              <w:spacing w:after="0"/>
            </w:pPr>
            <w:r>
              <w:t>Этика</w:t>
            </w:r>
          </w:p>
        </w:tc>
        <w:tc>
          <w:tcPr>
            <w:tcW w:w="3030" w:type="dxa"/>
            <w:shd w:val="clear" w:color="auto" w:fill="FFFFFF"/>
          </w:tcPr>
          <w:p w14:paraId="351DE728" w14:textId="77777777" w:rsidR="00371282" w:rsidRDefault="00000000">
            <w:pPr>
              <w:pStyle w:val="LectureTable"/>
              <w:spacing w:after="0"/>
            </w:pPr>
            <w:r>
              <w:t>10</w:t>
            </w:r>
          </w:p>
        </w:tc>
        <w:tc>
          <w:tcPr>
            <w:tcW w:w="4166" w:type="dxa"/>
            <w:shd w:val="clear" w:color="auto" w:fill="FFFFFF"/>
          </w:tcPr>
          <w:p w14:paraId="5739A71F" w14:textId="77777777" w:rsidR="00371282" w:rsidRDefault="00000000">
            <w:pPr>
              <w:pStyle w:val="LectureTable"/>
              <w:spacing w:after="0"/>
            </w:pPr>
            <w:r>
              <w:t>Достоверность, приватность, прозрачность</w:t>
            </w:r>
          </w:p>
        </w:tc>
      </w:tr>
    </w:tbl>
    <w:p w14:paraId="309B24AF" w14:textId="77777777" w:rsidR="00371282" w:rsidRDefault="00371282">
      <w:pPr>
        <w:spacing w:after="0" w:line="120" w:lineRule="exact"/>
      </w:pPr>
    </w:p>
    <w:p w14:paraId="4ADB2803" w14:textId="77777777" w:rsidR="00371282" w:rsidRDefault="00000000">
      <w:r>
        <w:t>Предлагаемая рубрика дает максимум 100 баллов и относится к содержанию итогового проекта. Ее вес в общей оценке курса устанавливается отдельно. При командной работе дополнительно фиксируется вклад каждого участника.</w:t>
      </w:r>
    </w:p>
    <w:p w14:paraId="549ADE25" w14:textId="77777777" w:rsidR="00371282" w:rsidRDefault="00000000">
      <w:r>
        <w:t>Если реализация не проводилась, защитите план проверки и покажите готовность материалов к пилоту. Отсутствие внедрения нельзя компенсировать выдуманными результатами. Преподаватель должен видеть, какие элементы завершены, какие требуют согласования и какие данные еще предстоит получить.</w:t>
      </w:r>
    </w:p>
    <w:p w14:paraId="5449103A" w14:textId="77777777" w:rsidR="00371282" w:rsidRDefault="00000000">
      <w:r>
        <w:t>В заключении ответьте на три вопроса: какую проблему решает стратегия; почему выбраны именно эти средства; по каким наблюдениям решение будет сохранено, изменено или отклонено.</w:t>
      </w:r>
    </w:p>
    <w:p w14:paraId="1200524C" w14:textId="77777777" w:rsidR="00371282" w:rsidRDefault="00000000">
      <w:pPr>
        <w:pStyle w:val="1"/>
        <w:pageBreakBefore/>
        <w:spacing w:before="0"/>
      </w:pPr>
      <w:bookmarkStart w:id="9" w:name="Section_10"/>
      <w:bookmarkEnd w:id="9"/>
      <w:r>
        <w:lastRenderedPageBreak/>
        <w:t>Самопроверка и источники</w:t>
      </w:r>
    </w:p>
    <w:p w14:paraId="3161DD31" w14:textId="77777777" w:rsidR="00371282" w:rsidRDefault="00000000">
      <w:pPr>
        <w:pStyle w:val="21"/>
      </w:pPr>
      <w:r>
        <w:t>Вопросы</w:t>
      </w:r>
    </w:p>
    <w:p w14:paraId="126F6164" w14:textId="77777777" w:rsidR="00371282" w:rsidRDefault="00000000">
      <w:r>
        <w:t>1. Доказывают ли просмотры изменение имиджа? 2. Что входит в паспорт показателя? 3. Как назвать изменение с 40% до 70%? 4. Почему сравнение «до — после» не всегда причинное? 5. Что сдавать без реализации стратегии?</w:t>
      </w:r>
    </w:p>
    <w:p w14:paraId="55F802D5" w14:textId="77777777" w:rsidR="00371282" w:rsidRDefault="00000000">
      <w:pPr>
        <w:pStyle w:val="21"/>
      </w:pPr>
      <w:r>
        <w:t>Ответы-ориентиры</w:t>
      </w:r>
    </w:p>
    <w:p w14:paraId="2691867D" w14:textId="77777777" w:rsidR="00371282" w:rsidRDefault="00000000">
      <w:r>
        <w:t>Просмотры характеризуют распространение. Паспорт задает смысл, процедуру, формулу, период и ограничения. Изменение составляет 30 процентных пунктов, относительный прирост — 75%. На сравнение могут влиять состав участников и другие события. Без реализации представляют материалы и план оценки, а не вымышленные итоги.</w:t>
      </w:r>
    </w:p>
    <w:p w14:paraId="37E12C79" w14:textId="77777777" w:rsidR="00371282" w:rsidRDefault="00000000">
      <w:pPr>
        <w:pStyle w:val="21"/>
      </w:pPr>
      <w:r>
        <w:t>Итог и термины</w:t>
      </w:r>
    </w:p>
    <w:p w14:paraId="5473E73C" w14:textId="77777777" w:rsidR="00371282" w:rsidRDefault="00000000">
      <w:r>
        <w:t>Показатель — операционное выражение результата; исходный замер — состояние до изменения; процентный пункт — разность процентных долей; причинный эффект — изменение вследствие определенного воздействия; ограничение — условие, сужающее допустимость вывода.</w:t>
      </w:r>
    </w:p>
    <w:p w14:paraId="7D7ADB5C" w14:textId="77777777" w:rsidR="00371282" w:rsidRDefault="00000000">
      <w:r>
        <w:t>Курс завершается проверяемой связкой: исследование восприятия — стратегия — материалы — действие — оценка. Профессиональное имиджмейкерство требует не только проектировать образ, но и честно устанавливать результат.</w:t>
      </w:r>
    </w:p>
    <w:p w14:paraId="6D3E4E35" w14:textId="77777777" w:rsidR="00371282" w:rsidRDefault="00000000">
      <w:pPr>
        <w:pStyle w:val="21"/>
      </w:pPr>
      <w:r>
        <w:t>Источники и дальнейшее чтение</w:t>
      </w:r>
    </w:p>
    <w:p w14:paraId="0A4B35C7" w14:textId="77777777" w:rsidR="00371282" w:rsidRDefault="00000000">
      <w:pPr>
        <w:pStyle w:val="LectureReference"/>
      </w:pPr>
      <w:r>
        <w:t xml:space="preserve">[1] AMEC. Integrated Evaluation Framework. Рамка планирования и оценки коммуникаций. </w:t>
      </w:r>
      <w:hyperlink r:id="rId8" w:history="1">
        <w:r>
          <w:rPr>
            <w:color w:val="176B72"/>
            <w:u w:val="single"/>
          </w:rPr>
          <w:t>Перейти к</w:t>
        </w:r>
      </w:hyperlink>
      <w:r>
        <w:t xml:space="preserve"> </w:t>
      </w:r>
      <w:hyperlink r:id="rId9" w:history="1">
        <w:r>
          <w:rPr>
            <w:color w:val="176B72"/>
            <w:u w:val="single"/>
          </w:rPr>
          <w:t>источнику</w:t>
        </w:r>
      </w:hyperlink>
      <w:r>
        <w:t>.</w:t>
      </w:r>
    </w:p>
    <w:p w14:paraId="025AC3C7" w14:textId="77777777" w:rsidR="00371282" w:rsidRDefault="00000000">
      <w:pPr>
        <w:pStyle w:val="LectureReference"/>
      </w:pPr>
      <w:r>
        <w:t xml:space="preserve">[2] AAPOR. Best Practices for Survey Research. Методические рекомендации по организации и прозрачности опросов. </w:t>
      </w:r>
      <w:hyperlink r:id="rId10" w:history="1">
        <w:r>
          <w:rPr>
            <w:color w:val="176B72"/>
            <w:u w:val="single"/>
          </w:rPr>
          <w:t>Перейти к источнику</w:t>
        </w:r>
      </w:hyperlink>
      <w:r>
        <w:t>.</w:t>
      </w:r>
    </w:p>
    <w:p w14:paraId="6F154A69" w14:textId="77777777" w:rsidR="00371282" w:rsidRDefault="00000000">
      <w:pPr>
        <w:pStyle w:val="LectureReference"/>
      </w:pPr>
      <w:r>
        <w:t xml:space="preserve">[3] Pew Research Center. Writing Survey Questions. Методические рекомендации по формулировкам и последовательности вопросов. </w:t>
      </w:r>
      <w:hyperlink r:id="rId11" w:history="1">
        <w:r>
          <w:rPr>
            <w:color w:val="176B72"/>
            <w:u w:val="single"/>
          </w:rPr>
          <w:t>Перейти к источнику</w:t>
        </w:r>
      </w:hyperlink>
      <w:r>
        <w:t>.</w:t>
      </w:r>
    </w:p>
    <w:p w14:paraId="1ED482EE" w14:textId="77777777" w:rsidR="00371282" w:rsidRDefault="00000000">
      <w:pPr>
        <w:pStyle w:val="LectureReference"/>
      </w:pPr>
      <w:r>
        <w:t>Электронные ресурсы проверялись при подготовке комплекта 27.09.2026. Академические публикации приведены для дальнейшего чтения; доступ к полному тексту может быть ограничен. Кейсы, шаблоны и задания разработаны для этого курса.</w:t>
      </w:r>
    </w:p>
    <w:sectPr w:rsidR="00371282" w:rsidSect="00034616">
      <w:headerReference w:type="default" r:id="rId12"/>
      <w:footerReference w:type="default" r:id="rId13"/>
      <w:pgSz w:w="11906" w:h="16838"/>
      <w:pgMar w:top="1219" w:right="1219" w:bottom="1134" w:left="1219" w:header="482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8FA4C" w14:textId="77777777" w:rsidR="00360698" w:rsidRDefault="00360698">
      <w:pPr>
        <w:spacing w:after="0" w:line="240" w:lineRule="auto"/>
      </w:pPr>
      <w:r>
        <w:separator/>
      </w:r>
    </w:p>
  </w:endnote>
  <w:endnote w:type="continuationSeparator" w:id="0">
    <w:p w14:paraId="3B47B95A" w14:textId="77777777" w:rsidR="00360698" w:rsidRDefault="00360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FC840" w14:textId="1090304B" w:rsidR="00371282" w:rsidRDefault="00000000">
    <w:pPr>
      <w:pStyle w:val="a7"/>
      <w:pBdr>
        <w:top w:val="single" w:sz="4" w:space="7" w:color="CDDAE0"/>
      </w:pBdr>
      <w:tabs>
        <w:tab w:val="right" w:pos="9468"/>
      </w:tabs>
      <w:spacing w:before="80"/>
    </w:pPr>
    <w:r>
      <w:tab/>
    </w:r>
    <w:r>
      <w:rPr>
        <w:sz w:val="17"/>
      </w:rPr>
      <w:fldChar w:fldCharType="begin"/>
    </w:r>
    <w:r>
      <w:rPr>
        <w:sz w:val="17"/>
      </w:rPr>
      <w:instrText xml:space="preserve"> PAGE </w:instrText>
    </w:r>
    <w:r>
      <w:rPr>
        <w:sz w:val="17"/>
      </w:rPr>
      <w:fldChar w:fldCharType="separate"/>
    </w:r>
    <w:r>
      <w:rPr>
        <w:sz w:val="17"/>
      </w:rPr>
      <w:t>1</w:t>
    </w:r>
    <w:r>
      <w:rPr>
        <w:sz w:val="17"/>
      </w:rPr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</w:r>
    <w:r>
      <w:rPr>
        <w:sz w:val="17"/>
      </w:rPr>
      <w:instrText xml:space="preserve"> NUMPAGES </w:instrText>
    </w:r>
    <w:r>
      <w:rPr>
        <w:sz w:val="17"/>
      </w:rPr>
      <w:fldChar w:fldCharType="separate"/>
    </w:r>
    <w:r>
      <w:rPr>
        <w:sz w:val="17"/>
      </w:rPr>
      <w:t>10</w:t>
    </w:r>
    <w:r>
      <w:rPr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A1A5A" w14:textId="77777777" w:rsidR="00360698" w:rsidRDefault="00360698">
      <w:pPr>
        <w:spacing w:after="0" w:line="240" w:lineRule="auto"/>
      </w:pPr>
      <w:r>
        <w:separator/>
      </w:r>
    </w:p>
  </w:footnote>
  <w:footnote w:type="continuationSeparator" w:id="0">
    <w:p w14:paraId="166ACB6B" w14:textId="77777777" w:rsidR="00360698" w:rsidRDefault="00360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9312D" w14:textId="766EB7DA" w:rsidR="00371282" w:rsidRDefault="00000000">
    <w:pPr>
      <w:pStyle w:val="a5"/>
      <w:pBdr>
        <w:bottom w:val="single" w:sz="4" w:space="7" w:color="CDDAE0"/>
      </w:pBdr>
      <w:tabs>
        <w:tab w:val="right" w:pos="9468"/>
      </w:tabs>
      <w:spacing w:after="120"/>
    </w:pPr>
    <w:proofErr w:type="gramStart"/>
    <w:r>
      <w:rPr>
        <w:b/>
        <w:color w:val="176B72"/>
      </w:rPr>
      <w:t>ИМИДЖМЕЙКЕРСТВО  /</w:t>
    </w:r>
    <w:proofErr w:type="gramEnd"/>
    <w:r>
      <w:rPr>
        <w:b/>
        <w:color w:val="176B72"/>
      </w:rPr>
      <w:t xml:space="preserve">  ЛЕКЦИЯ 15</w:t>
    </w:r>
    <w:r>
      <w:rPr>
        <w:sz w:val="15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8968657">
    <w:abstractNumId w:val="8"/>
  </w:num>
  <w:num w:numId="2" w16cid:durableId="2082944985">
    <w:abstractNumId w:val="6"/>
  </w:num>
  <w:num w:numId="3" w16cid:durableId="1886066119">
    <w:abstractNumId w:val="5"/>
  </w:num>
  <w:num w:numId="4" w16cid:durableId="922641222">
    <w:abstractNumId w:val="4"/>
  </w:num>
  <w:num w:numId="5" w16cid:durableId="1179078967">
    <w:abstractNumId w:val="7"/>
  </w:num>
  <w:num w:numId="6" w16cid:durableId="511261184">
    <w:abstractNumId w:val="3"/>
  </w:num>
  <w:num w:numId="7" w16cid:durableId="1118792468">
    <w:abstractNumId w:val="2"/>
  </w:num>
  <w:num w:numId="8" w16cid:durableId="1385908353">
    <w:abstractNumId w:val="1"/>
  </w:num>
  <w:num w:numId="9" w16cid:durableId="1700205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2666"/>
    <w:rsid w:val="0029639D"/>
    <w:rsid w:val="00326F90"/>
    <w:rsid w:val="00360698"/>
    <w:rsid w:val="00371282"/>
    <w:rsid w:val="00AA1D8D"/>
    <w:rsid w:val="00B47730"/>
    <w:rsid w:val="00CB0664"/>
    <w:rsid w:val="00E502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6C836D"/>
  <w14:defaultImageDpi w14:val="300"/>
  <w15:docId w15:val="{9A22AF4E-A27F-4072-8024-9D3B6D49D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 w:line="278" w:lineRule="auto"/>
    </w:pPr>
    <w:rPr>
      <w:rFonts w:ascii="Times New Roman" w:eastAsia="Times New Roman" w:hAnsi="Times New Roman" w:cs="Times New Roman"/>
      <w:color w:val="202830"/>
      <w:sz w:val="26"/>
      <w:lang w:val="ru-RU" w:eastAsia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" w:after="240" w:line="254" w:lineRule="auto"/>
      <w:outlineLvl w:val="0"/>
    </w:pPr>
    <w:rPr>
      <w:rFonts w:ascii="Arial" w:eastAsia="Arial" w:hAnsi="Arial" w:cs="Arial"/>
      <w:b/>
      <w:bCs/>
      <w:color w:val="1935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120" w:line="254" w:lineRule="auto"/>
      <w:outlineLvl w:val="1"/>
    </w:pPr>
    <w:rPr>
      <w:rFonts w:ascii="Arial" w:eastAsia="Arial" w:hAnsi="Arial" w:cs="Arial"/>
      <w:b/>
      <w:bCs/>
      <w:color w:val="19354A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spacing w:after="0" w:line="240" w:lineRule="auto"/>
    </w:pPr>
    <w:rPr>
      <w:rFonts w:ascii="Arial" w:eastAsia="Arial" w:hAnsi="Arial" w:cs="Arial"/>
      <w:color w:val="53616A"/>
      <w:sz w:val="16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spacing w:after="0" w:line="240" w:lineRule="auto"/>
    </w:pPr>
    <w:rPr>
      <w:rFonts w:ascii="Arial" w:eastAsia="Arial" w:hAnsi="Arial" w:cs="Arial"/>
      <w:color w:val="53616A"/>
      <w:sz w:val="16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40" w:after="260" w:line="250" w:lineRule="auto"/>
      <w:contextualSpacing/>
    </w:pPr>
    <w:rPr>
      <w:rFonts w:ascii="Arial" w:eastAsia="Arial" w:hAnsi="Arial" w:cs="Arial"/>
      <w:b/>
      <w:color w:val="19354A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spacing w:after="240" w:line="259" w:lineRule="auto"/>
    </w:pPr>
    <w:rPr>
      <w:rFonts w:ascii="Arial" w:eastAsia="Arial" w:hAnsi="Arial" w:cs="Arial"/>
      <w:b/>
      <w:iCs/>
      <w:color w:val="176B72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ctureReference">
    <w:name w:val="Lecture Reference"/>
    <w:pPr>
      <w:spacing w:after="100" w:line="269" w:lineRule="auto"/>
    </w:pPr>
    <w:rPr>
      <w:rFonts w:ascii="Arial" w:eastAsia="Arial" w:hAnsi="Arial" w:cs="Arial"/>
      <w:color w:val="53616A"/>
      <w:sz w:val="18"/>
      <w:lang w:val="ru-RU" w:eastAsia="ru-RU"/>
    </w:rPr>
  </w:style>
  <w:style w:type="paragraph" w:customStyle="1" w:styleId="LectureCallout">
    <w:name w:val="Lecture Callout"/>
    <w:pPr>
      <w:spacing w:after="100" w:line="269" w:lineRule="auto"/>
    </w:pPr>
    <w:rPr>
      <w:rFonts w:ascii="Arial" w:eastAsia="Arial" w:hAnsi="Arial" w:cs="Arial"/>
      <w:color w:val="19354A"/>
      <w:lang w:val="ru-RU" w:eastAsia="ru-RU"/>
    </w:rPr>
  </w:style>
  <w:style w:type="paragraph" w:customStyle="1" w:styleId="LectureTable">
    <w:name w:val="Lecture Table"/>
    <w:pPr>
      <w:spacing w:after="100" w:line="269" w:lineRule="auto"/>
    </w:pPr>
    <w:rPr>
      <w:rFonts w:ascii="Arial" w:eastAsia="Arial" w:hAnsi="Arial" w:cs="Arial"/>
      <w:color w:val="19354A"/>
      <w:sz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ecorg.com/amecframework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ewresearch.org/writing-survey-question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apor.org/standards-and-ethics/best-practic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mecorg.com/amecframewor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2601</Words>
  <Characters>14832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эффективности имиджевой стратегии</dc:title>
  <dc:subject>Имиджмейкерство. Лекция 15. Дистанционный курс для бакалавриата.</dc:subject>
  <dc:creator/>
  <cp:keywords>имиджмейкерство, лекция, бакалавриат, дистанционное обучение</cp:keywords>
  <dc:description/>
  <cp:lastModifiedBy>Mikhail Sizov</cp:lastModifiedBy>
  <cp:revision>3</cp:revision>
  <dcterms:created xsi:type="dcterms:W3CDTF">2013-12-23T23:15:00Z</dcterms:created>
  <dcterms:modified xsi:type="dcterms:W3CDTF">2026-09-27T19:57:00Z</dcterms:modified>
  <cp:category/>
</cp:coreProperties>
</file>