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86700" w14:textId="77777777" w:rsidR="0024026A" w:rsidRDefault="00000000">
      <w:pPr>
        <w:pStyle w:val="aa"/>
        <w:spacing w:before="0"/>
      </w:pPr>
      <w:bookmarkStart w:id="0" w:name="Section_01"/>
      <w:bookmarkEnd w:id="0"/>
      <w:r>
        <w:t>Корпоративный имидж: организация, руководитель и сотрудники</w:t>
      </w:r>
    </w:p>
    <w:p w14:paraId="35D4600A" w14:textId="77777777" w:rsidR="0024026A" w:rsidRDefault="00000000">
      <w:pPr>
        <w:pStyle w:val="ac"/>
      </w:pPr>
      <w:r>
        <w:t>Организация как объект имиджмейкерства</w:t>
      </w:r>
    </w:p>
    <w:p w14:paraId="2F752ED5" w14:textId="77777777" w:rsidR="0024026A" w:rsidRDefault="00000000">
      <w:r>
        <w:t>Корпоративный имидж — представления об организации у определенных аудиторий. Клиент, сотрудник, соискатель и партнер могут оценивать разные стороны ее деятельности. Поэтому единая рекламная характеристика не описывает весь набор отношений и не заменяет исследование каждой значимой группы.</w:t>
      </w:r>
    </w:p>
    <w:p w14:paraId="3D927AFE" w14:textId="77777777" w:rsidR="0024026A" w:rsidRDefault="00000000">
      <w:r>
        <w:t>М. Хэтч и М. Шульц рассматривают взаимосвязи организационной культуры, идентичности и имиджа [1]. В учебном анализе это помогает разделять внутренние представления организации о себе, реальные практики и внешнее восприятие, не предполагая, что они автоматически совпадают.</w:t>
      </w:r>
    </w:p>
    <w:p w14:paraId="37854568" w14:textId="77777777" w:rsidR="0024026A" w:rsidRDefault="00000000">
      <w:pPr>
        <w:pStyle w:val="21"/>
      </w:pPr>
      <w:r>
        <w:t>Результаты изучения темы</w:t>
      </w:r>
    </w:p>
    <w:p w14:paraId="0EC4662D" w14:textId="77777777" w:rsidR="0024026A" w:rsidRDefault="00000000">
      <w:r>
        <w:t>Студент научится выделять аудитории корпоративного имиджа; анализировать согласованность обещаний и опыта взаимодействия; определять роль руководителя и сотрудников; проверять предложение работодателя; готовить карту корпоративных сообщений и организационных изменений.</w:t>
      </w:r>
    </w:p>
    <w:p w14:paraId="1F907317" w14:textId="77777777" w:rsidR="0024026A" w:rsidRDefault="00000000">
      <w:r>
        <w:t>Корпоративное имиджмейкерство не ограничивается логотипом и фирменным цветом. В курсовом проекте необходимо рассматривать условия услуги, порядок ответа, понятность документов и выполнение заявленных обязательств. Если проблема связана с процессом, одного изменения текста может быть недостаточно.</w:t>
      </w:r>
    </w:p>
    <w:p w14:paraId="039BE950" w14:textId="77777777" w:rsidR="0024026A"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Корпоративный образ должен опираться на то, что организация действительно делает и может подтвердить. Коммуникация не заменяет операционного решения.</w:t>
      </w:r>
    </w:p>
    <w:p w14:paraId="0F525F22" w14:textId="77777777" w:rsidR="0024026A" w:rsidRDefault="00000000">
      <w:r>
        <w:t>Итог недели — мини-аудит организации и согласованный план для нескольких аудиторий. Работа с реальной организацией допускается только на основе доступных материалов и без публикации непроверенных обвинений.</w:t>
      </w:r>
    </w:p>
    <w:p w14:paraId="66185040" w14:textId="77777777" w:rsidR="0024026A" w:rsidRDefault="00000000">
      <w:pPr>
        <w:pStyle w:val="1"/>
        <w:pageBreakBefore/>
        <w:spacing w:before="0"/>
      </w:pPr>
      <w:bookmarkStart w:id="1" w:name="Section_02"/>
      <w:bookmarkEnd w:id="1"/>
      <w:r>
        <w:lastRenderedPageBreak/>
        <w:t>Идентичность, культура и внешнее восприятие</w:t>
      </w:r>
    </w:p>
    <w:p w14:paraId="4DCB8A3B" w14:textId="77777777" w:rsidR="0024026A" w:rsidRDefault="00000000">
      <w:r>
        <w:t>Корпоративная идентичность отвечает на вопрос, как организация определяет себя: назначение, роль, ценности и отличительные особенности. Организационная культура в учебной логике проявляется в устойчивых способах работы и взаимодействия. Внешний имидж описывает то, как организацию воспринимают конкретные аудитории.</w:t>
      </w:r>
    </w:p>
    <w:p w14:paraId="1482D141" w14:textId="77777777" w:rsidR="0024026A" w:rsidRDefault="00000000">
      <w:r>
        <w:t>Для анализа полезно сопоставлять три вида материала: заявления, практики и оценки. Например, заявляется открытость, но не указан порядок получения информации; сотрудники описывают сложность согласования ответов; клиенты сообщают, что не понимают статус обращения. Это разные сведения, которые нужно связать, а не смешать в одну оценку.</w:t>
      </w:r>
    </w:p>
    <w:p w14:paraId="79A25997" w14:textId="77777777" w:rsidR="0024026A" w:rsidRDefault="00000000">
      <w:pPr>
        <w:pStyle w:val="21"/>
      </w:pPr>
      <w:r>
        <w:t>Ценности в действии</w:t>
      </w:r>
    </w:p>
    <w:p w14:paraId="6453F1C9" w14:textId="77777777" w:rsidR="0024026A" w:rsidRDefault="00000000">
      <w:r>
        <w:t>Фраза «мы ценим клиента» слишком общая для проверки. Ее можно конкретизировать через действия: понятное описание условий, информирование о задержке и доступный порядок исправления ошибки. Выбранные признаки должны соответствовать деятельности организации, а не копироваться из чужого брендбука.</w:t>
      </w:r>
    </w:p>
    <w:p w14:paraId="036F96A6" w14:textId="77777777" w:rsidR="0024026A" w:rsidRDefault="00000000">
      <w:r>
        <w:t>Символы и ритуалы также подлежат анализу: как встречают нового сотрудника, кто участвует в обсуждении, как признается вклад команды. Однако отдельный эпизод не доказывает всю культуру. Необходимо уточнять повторяемость, контекст и альтернативные объяснения.</w:t>
      </w:r>
    </w:p>
    <w:p w14:paraId="6AF2FD9F" w14:textId="77777777" w:rsidR="0024026A" w:rsidRDefault="00000000">
      <w:r>
        <w:t>Изменение идентичности требует согласования со способом работы. Новое обещание «индивидуального сопровождения» предполагает конкретное содержание услуги и ресурс сотрудников. Без этого аудитория может получить разные ожидания из рекламы и непосредственного взаимодействия.</w:t>
      </w:r>
    </w:p>
    <w:p w14:paraId="06F8BA1F" w14:textId="77777777" w:rsidR="0024026A" w:rsidRDefault="00000000">
      <w:r>
        <w:t>В отчете обозначайте, что установлено, а что предполагается. «В пяти опубликованных отзывах упомянута задержка ответа» точнее, чем «организация всегда игнорирует клиентов». Такая осторожность не скрывает проблему, а делает ее предметом проверки.</w:t>
      </w:r>
    </w:p>
    <w:p w14:paraId="0F08E665" w14:textId="77777777" w:rsidR="0024026A"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Согласованность исследуется по конкретным обещаниям и ситуациям. Ее нельзя установить только сравнением красивых формулировок миссии и ценностей.</w:t>
      </w:r>
    </w:p>
    <w:p w14:paraId="637B6DD5" w14:textId="77777777" w:rsidR="0024026A" w:rsidRDefault="00000000">
      <w:pPr>
        <w:pStyle w:val="1"/>
        <w:pageBreakBefore/>
        <w:spacing w:before="0"/>
      </w:pPr>
      <w:bookmarkStart w:id="2" w:name="Section_03"/>
      <w:bookmarkEnd w:id="2"/>
      <w:r>
        <w:lastRenderedPageBreak/>
        <w:t>Аудитории и точки корпоративного контакта</w:t>
      </w:r>
    </w:p>
    <w:p w14:paraId="1131669D" w14:textId="77777777" w:rsidR="0024026A" w:rsidRDefault="00000000">
      <w:r>
        <w:t>Клиенту может быть важно качество и понятность услуги, соискателю — условия работы, партнеру — порядок обязательств, сотруднику — доступность информации и справедливость процедур. Эти вопросы пересекаются, но не должны сводиться к одному усредненному образу «внешней аудитории».</w:t>
      </w:r>
    </w:p>
    <w:p w14:paraId="2F3A4D88" w14:textId="77777777" w:rsidR="0024026A" w:rsidRDefault="00000000">
      <w:r>
        <w:t>Для каждой группы выделите ситуации контакта: поиск информации, первое обращение, принятие решения, выполнение договоренности и обратная связь. Затем определите, какие сообщения и действия организация предъявляет в этих ситуациях.</w:t>
      </w:r>
    </w:p>
    <w:tbl>
      <w:tblPr>
        <w:tblW w:w="9468" w:type="dxa"/>
        <w:jc w:val="center"/>
        <w:tblBorders>
          <w:top w:val="single" w:sz="4" w:space="0" w:color="CDDAE0"/>
          <w:left w:val="nil"/>
          <w:bottom w:val="single" w:sz="4" w:space="0" w:color="CDDAE0"/>
          <w:right w:val="nil"/>
          <w:insideH w:val="single" w:sz="4" w:space="0" w:color="CDDAE0"/>
          <w:insideV w:val="nil"/>
        </w:tblBorders>
        <w:tblLayout w:type="fixed"/>
        <w:tblCellMar>
          <w:top w:w="88" w:type="dxa"/>
          <w:left w:w="115" w:type="dxa"/>
          <w:bottom w:w="88" w:type="dxa"/>
          <w:right w:w="115" w:type="dxa"/>
        </w:tblCellMar>
        <w:tblLook w:val="04A0" w:firstRow="1" w:lastRow="0" w:firstColumn="1" w:lastColumn="0" w:noHBand="0" w:noVBand="1"/>
      </w:tblPr>
      <w:tblGrid>
        <w:gridCol w:w="2272"/>
        <w:gridCol w:w="3030"/>
        <w:gridCol w:w="4166"/>
      </w:tblGrid>
      <w:tr w:rsidR="0024026A" w14:paraId="780E9471" w14:textId="77777777">
        <w:trPr>
          <w:cantSplit/>
          <w:tblHeader/>
          <w:jc w:val="center"/>
        </w:trPr>
        <w:tc>
          <w:tcPr>
            <w:tcW w:w="2272" w:type="dxa"/>
            <w:shd w:val="clear" w:color="auto" w:fill="19354A"/>
          </w:tcPr>
          <w:p w14:paraId="6ABD3298" w14:textId="77777777" w:rsidR="0024026A" w:rsidRDefault="00000000">
            <w:pPr>
              <w:pStyle w:val="LectureTable"/>
              <w:keepNext/>
              <w:spacing w:after="0"/>
            </w:pPr>
            <w:r>
              <w:rPr>
                <w:b/>
                <w:color w:val="FFFFFF"/>
              </w:rPr>
              <w:t>Аудитория</w:t>
            </w:r>
          </w:p>
        </w:tc>
        <w:tc>
          <w:tcPr>
            <w:tcW w:w="3030" w:type="dxa"/>
            <w:shd w:val="clear" w:color="auto" w:fill="19354A"/>
          </w:tcPr>
          <w:p w14:paraId="774AE967" w14:textId="77777777" w:rsidR="0024026A" w:rsidRDefault="00000000">
            <w:pPr>
              <w:pStyle w:val="LectureTable"/>
              <w:keepNext/>
              <w:spacing w:after="0"/>
            </w:pPr>
            <w:r>
              <w:rPr>
                <w:b/>
                <w:color w:val="FFFFFF"/>
              </w:rPr>
              <w:t>Значимый вопрос</w:t>
            </w:r>
          </w:p>
        </w:tc>
        <w:tc>
          <w:tcPr>
            <w:tcW w:w="4166" w:type="dxa"/>
            <w:shd w:val="clear" w:color="auto" w:fill="19354A"/>
          </w:tcPr>
          <w:p w14:paraId="0FE8FBBF" w14:textId="77777777" w:rsidR="0024026A" w:rsidRDefault="00000000">
            <w:pPr>
              <w:pStyle w:val="LectureTable"/>
              <w:keepNext/>
              <w:spacing w:after="0"/>
            </w:pPr>
            <w:r>
              <w:rPr>
                <w:b/>
                <w:color w:val="FFFFFF"/>
              </w:rPr>
              <w:t>Что исследовать</w:t>
            </w:r>
          </w:p>
        </w:tc>
      </w:tr>
      <w:tr w:rsidR="0024026A" w14:paraId="24E9B66B" w14:textId="77777777">
        <w:trPr>
          <w:cantSplit/>
          <w:jc w:val="center"/>
        </w:trPr>
        <w:tc>
          <w:tcPr>
            <w:tcW w:w="2272" w:type="dxa"/>
            <w:shd w:val="clear" w:color="auto" w:fill="F0F4F6"/>
          </w:tcPr>
          <w:p w14:paraId="6261ACE2" w14:textId="77777777" w:rsidR="0024026A" w:rsidRDefault="00000000">
            <w:pPr>
              <w:pStyle w:val="LectureTable"/>
              <w:keepNext/>
              <w:spacing w:after="0"/>
            </w:pPr>
            <w:r>
              <w:t>Клиенты</w:t>
            </w:r>
          </w:p>
        </w:tc>
        <w:tc>
          <w:tcPr>
            <w:tcW w:w="3030" w:type="dxa"/>
            <w:shd w:val="clear" w:color="auto" w:fill="F0F4F6"/>
          </w:tcPr>
          <w:p w14:paraId="5832416D" w14:textId="77777777" w:rsidR="0024026A" w:rsidRDefault="00000000">
            <w:pPr>
              <w:pStyle w:val="LectureTable"/>
              <w:keepNext/>
              <w:spacing w:after="0"/>
            </w:pPr>
            <w:r>
              <w:t>Что входит в услугу?</w:t>
            </w:r>
          </w:p>
        </w:tc>
        <w:tc>
          <w:tcPr>
            <w:tcW w:w="4166" w:type="dxa"/>
            <w:shd w:val="clear" w:color="auto" w:fill="F0F4F6"/>
          </w:tcPr>
          <w:p w14:paraId="1B04DEF2" w14:textId="77777777" w:rsidR="0024026A" w:rsidRDefault="00000000">
            <w:pPr>
              <w:pStyle w:val="LectureTable"/>
              <w:keepNext/>
              <w:spacing w:after="0"/>
            </w:pPr>
            <w:r>
              <w:t>Описание, договоренности, опыт получения</w:t>
            </w:r>
          </w:p>
        </w:tc>
      </w:tr>
      <w:tr w:rsidR="0024026A" w14:paraId="25BA0696" w14:textId="77777777">
        <w:trPr>
          <w:cantSplit/>
          <w:jc w:val="center"/>
        </w:trPr>
        <w:tc>
          <w:tcPr>
            <w:tcW w:w="2272" w:type="dxa"/>
            <w:shd w:val="clear" w:color="auto" w:fill="FFFFFF"/>
          </w:tcPr>
          <w:p w14:paraId="3507EBCE" w14:textId="77777777" w:rsidR="0024026A" w:rsidRDefault="00000000">
            <w:pPr>
              <w:pStyle w:val="LectureTable"/>
              <w:keepNext/>
              <w:spacing w:after="0"/>
            </w:pPr>
            <w:r>
              <w:t>Сотрудники</w:t>
            </w:r>
          </w:p>
        </w:tc>
        <w:tc>
          <w:tcPr>
            <w:tcW w:w="3030" w:type="dxa"/>
            <w:shd w:val="clear" w:color="auto" w:fill="FFFFFF"/>
          </w:tcPr>
          <w:p w14:paraId="0BEE1BE0" w14:textId="77777777" w:rsidR="0024026A" w:rsidRDefault="00000000">
            <w:pPr>
              <w:pStyle w:val="LectureTable"/>
              <w:keepNext/>
              <w:spacing w:after="0"/>
            </w:pPr>
            <w:r>
              <w:t>Как принимаются рабочие решения?</w:t>
            </w:r>
          </w:p>
        </w:tc>
        <w:tc>
          <w:tcPr>
            <w:tcW w:w="4166" w:type="dxa"/>
            <w:shd w:val="clear" w:color="auto" w:fill="FFFFFF"/>
          </w:tcPr>
          <w:p w14:paraId="48B01247" w14:textId="77777777" w:rsidR="0024026A" w:rsidRDefault="00000000">
            <w:pPr>
              <w:pStyle w:val="LectureTable"/>
              <w:keepNext/>
              <w:spacing w:after="0"/>
            </w:pPr>
            <w:r>
              <w:t>Правила, сообщения, доступные объяснения</w:t>
            </w:r>
          </w:p>
        </w:tc>
      </w:tr>
      <w:tr w:rsidR="0024026A" w14:paraId="5EBDD0A9" w14:textId="77777777">
        <w:trPr>
          <w:cantSplit/>
          <w:jc w:val="center"/>
        </w:trPr>
        <w:tc>
          <w:tcPr>
            <w:tcW w:w="2272" w:type="dxa"/>
            <w:shd w:val="clear" w:color="auto" w:fill="F0F4F6"/>
          </w:tcPr>
          <w:p w14:paraId="6C9B6555" w14:textId="77777777" w:rsidR="0024026A" w:rsidRDefault="00000000">
            <w:pPr>
              <w:pStyle w:val="LectureTable"/>
              <w:keepNext/>
              <w:spacing w:after="0"/>
            </w:pPr>
            <w:r>
              <w:t>Соискатели</w:t>
            </w:r>
          </w:p>
        </w:tc>
        <w:tc>
          <w:tcPr>
            <w:tcW w:w="3030" w:type="dxa"/>
            <w:shd w:val="clear" w:color="auto" w:fill="F0F4F6"/>
          </w:tcPr>
          <w:p w14:paraId="208B5A9A" w14:textId="77777777" w:rsidR="0024026A" w:rsidRDefault="00000000">
            <w:pPr>
              <w:pStyle w:val="LectureTable"/>
              <w:keepNext/>
              <w:spacing w:after="0"/>
            </w:pPr>
            <w:r>
              <w:t>Какие условия будут на практике?</w:t>
            </w:r>
          </w:p>
        </w:tc>
        <w:tc>
          <w:tcPr>
            <w:tcW w:w="4166" w:type="dxa"/>
            <w:shd w:val="clear" w:color="auto" w:fill="F0F4F6"/>
          </w:tcPr>
          <w:p w14:paraId="1D1F8F01" w14:textId="77777777" w:rsidR="0024026A" w:rsidRDefault="00000000">
            <w:pPr>
              <w:pStyle w:val="LectureTable"/>
              <w:keepNext/>
              <w:spacing w:after="0"/>
            </w:pPr>
            <w:r>
              <w:t>Вакансию, интервью, адаптацию</w:t>
            </w:r>
          </w:p>
        </w:tc>
      </w:tr>
      <w:tr w:rsidR="0024026A" w14:paraId="571DF30B" w14:textId="77777777">
        <w:trPr>
          <w:cantSplit/>
          <w:jc w:val="center"/>
        </w:trPr>
        <w:tc>
          <w:tcPr>
            <w:tcW w:w="2272" w:type="dxa"/>
            <w:shd w:val="clear" w:color="auto" w:fill="FFFFFF"/>
          </w:tcPr>
          <w:p w14:paraId="32FABF2F" w14:textId="77777777" w:rsidR="0024026A" w:rsidRDefault="00000000">
            <w:pPr>
              <w:pStyle w:val="LectureTable"/>
              <w:spacing w:after="0"/>
            </w:pPr>
            <w:r>
              <w:t>Партнеры</w:t>
            </w:r>
          </w:p>
        </w:tc>
        <w:tc>
          <w:tcPr>
            <w:tcW w:w="3030" w:type="dxa"/>
            <w:shd w:val="clear" w:color="auto" w:fill="FFFFFF"/>
          </w:tcPr>
          <w:p w14:paraId="5885351B" w14:textId="77777777" w:rsidR="0024026A" w:rsidRDefault="00000000">
            <w:pPr>
              <w:pStyle w:val="LectureTable"/>
              <w:spacing w:after="0"/>
            </w:pPr>
            <w:r>
              <w:t>Кто отвечает за обязательства?</w:t>
            </w:r>
          </w:p>
        </w:tc>
        <w:tc>
          <w:tcPr>
            <w:tcW w:w="4166" w:type="dxa"/>
            <w:shd w:val="clear" w:color="auto" w:fill="FFFFFF"/>
          </w:tcPr>
          <w:p w14:paraId="09532E25" w14:textId="77777777" w:rsidR="0024026A" w:rsidRDefault="00000000">
            <w:pPr>
              <w:pStyle w:val="LectureTable"/>
              <w:spacing w:after="0"/>
            </w:pPr>
            <w:r>
              <w:t>Контакты, сроки, порядок согласований</w:t>
            </w:r>
          </w:p>
        </w:tc>
      </w:tr>
    </w:tbl>
    <w:p w14:paraId="3301D047" w14:textId="77777777" w:rsidR="0024026A" w:rsidRDefault="0024026A">
      <w:pPr>
        <w:spacing w:after="0" w:line="120" w:lineRule="exact"/>
      </w:pPr>
    </w:p>
    <w:p w14:paraId="67A0011E" w14:textId="77777777" w:rsidR="0024026A" w:rsidRDefault="00000000">
      <w:r>
        <w:t>Не следует исключать небольшую группу только потому, что она дает мало продаж или редко упоминает организацию публично. Приоритет зависит также от характера обязательств и возможных последствий ошибки. Это предмет управленческого и этического обсуждения, а не только подсчета охвата.</w:t>
      </w:r>
    </w:p>
    <w:p w14:paraId="0057C720" w14:textId="77777777" w:rsidR="0024026A" w:rsidRDefault="00000000">
      <w:r>
        <w:t>Связь между аудиториями требует осторожности. Положительные оценки клиентов не доказывают благоприятный опыт сотрудников. Негативный отзыв работника не позволяет автоматически заключить, что все услуги некачественны. Каждый вывод должен иметь собственную доказательную основу.</w:t>
      </w:r>
    </w:p>
    <w:p w14:paraId="427EC754" w14:textId="77777777" w:rsidR="0024026A" w:rsidRDefault="00000000">
      <w:r>
        <w:t>Карта контактов помогает обнаружить противоречия: реклама обещает одно, сотрудник объясняет другое, документ фиксирует третье. Задача стратегии — не выбрать наиболее красивую версию, а согласовать реальное предложение и его представление.</w:t>
      </w:r>
    </w:p>
    <w:p w14:paraId="14B1BDE8" w14:textId="77777777" w:rsidR="0024026A" w:rsidRDefault="00000000">
      <w:r>
        <w:t>В дистанционном проекте достаточно двух-трех аудиторий и ограниченного числа материалов, если границы анализа описаны явно.</w:t>
      </w:r>
    </w:p>
    <w:p w14:paraId="01CF2DB9" w14:textId="77777777" w:rsidR="0024026A" w:rsidRDefault="00000000">
      <w:pPr>
        <w:pStyle w:val="1"/>
        <w:pageBreakBefore/>
        <w:spacing w:before="0"/>
      </w:pPr>
      <w:bookmarkStart w:id="3" w:name="Section_04"/>
      <w:bookmarkEnd w:id="3"/>
      <w:r>
        <w:lastRenderedPageBreak/>
        <w:t>Обещание и клиентский опыт</w:t>
      </w:r>
    </w:p>
    <w:p w14:paraId="0419CDC7" w14:textId="77777777" w:rsidR="0024026A" w:rsidRDefault="00000000">
      <w:r>
        <w:t>Имиджевое обещание формирует ожидание: скорость, удобство, персональное внимание, надежность или иной значимый результат. Для каждого обещания нужно определить, что именно означает его выполнение и кто отвечает за соответствующий процесс.</w:t>
      </w:r>
    </w:p>
    <w:p w14:paraId="6CF80E47" w14:textId="77777777" w:rsidR="0024026A" w:rsidRDefault="00000000">
      <w:r>
        <w:t>Общая формулировка «быстрая поддержка» может пониматься как моментальный ответ, ответ в течение часа или решение вопроса за день. Организации следует различать получение обращения, первый ответ и окончательное решение. Иначе даже формально выполненный внутренний показатель не совпадет с ожиданием клиента.</w:t>
      </w:r>
    </w:p>
    <w:p w14:paraId="0348B977" w14:textId="77777777" w:rsidR="0024026A" w:rsidRDefault="00000000">
      <w:pPr>
        <w:pStyle w:val="21"/>
      </w:pPr>
      <w:r>
        <w:t>Карта обещания</w:t>
      </w:r>
    </w:p>
    <w:p w14:paraId="17FFC25B" w14:textId="77777777" w:rsidR="0024026A" w:rsidRDefault="00000000">
      <w:r>
        <w:t>Предлагаемый шаблон: публичная формулировка — ожидаемое действие — операционное условие — подтверждение — ограничение. Например: «Ответим в рабочее время» требует указания часов, канала, ответственного и порядка действий вне этого времени.</w:t>
      </w:r>
    </w:p>
    <w:p w14:paraId="49CFD269" w14:textId="77777777" w:rsidR="0024026A" w:rsidRDefault="00000000">
      <w:r>
        <w:t>Не все расхождения решаются увеличением ресурса. Иногда нужно точнее описать услугу; иногда — изменить расписание, маршрутизацию или систему уведомлений. Выбор зависит от причины, установленной аудитом. Нельзя заранее сводить любую проблему к недостаточно убедительному тексту.</w:t>
      </w:r>
    </w:p>
    <w:p w14:paraId="44C7DD36" w14:textId="77777777" w:rsidR="0024026A" w:rsidRDefault="00000000">
      <w:r>
        <w:t>Сервисное восстановление в учебном анализе означает действия после сбоя: уточнить обстоятельства, объяснить доступное решение, выполнить договоренность и проверить завершение. Конкретные обязательства определяются условиями организации и применимыми правилами; курс не заменяет юридическую оценку.</w:t>
      </w:r>
    </w:p>
    <w:p w14:paraId="427E3D01" w14:textId="77777777" w:rsidR="0024026A" w:rsidRDefault="00000000">
      <w:r>
        <w:t>Отзывы используются как сигналы для проверки. Важно учитывать их содержание, период, канал и возможную неоднородность опыта. Средняя оценка без количества наблюдений и понимания способа сбора недостаточна для полного вывода о качестве.</w:t>
      </w:r>
    </w:p>
    <w:p w14:paraId="7FF727C6" w14:textId="77777777" w:rsidR="0024026A"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Чем конкретнее обещание, тем яснее его можно проверить. Но конкретность требует готовности выполнять названное условие, а не только удобства рекламной формулировки.</w:t>
      </w:r>
    </w:p>
    <w:p w14:paraId="47BDE405" w14:textId="77777777" w:rsidR="0024026A" w:rsidRDefault="00000000">
      <w:pPr>
        <w:pStyle w:val="1"/>
        <w:pageBreakBefore/>
        <w:spacing w:before="0"/>
      </w:pPr>
      <w:bookmarkStart w:id="4" w:name="Section_05"/>
      <w:bookmarkEnd w:id="4"/>
      <w:r>
        <w:lastRenderedPageBreak/>
        <w:t>Руководитель, сотрудники и распределенная коммуникация</w:t>
      </w:r>
    </w:p>
    <w:p w14:paraId="5AE16EDA" w14:textId="77777777" w:rsidR="0024026A" w:rsidRDefault="00000000">
      <w:r>
        <w:t>Руководитель может представлять организацию публично, объяснять решения и задавать образцы взаимодействия. Однако корпоративный имидж нельзя полностью отождествлять с его личным образом. Организация взаимодействует с аудиториями через множество сотрудников, документов и процессов.</w:t>
      </w:r>
    </w:p>
    <w:p w14:paraId="156695A3" w14:textId="77777777" w:rsidR="0024026A" w:rsidRDefault="00000000">
      <w:r>
        <w:t>Для распределенной коммуникации нужны согласованные сведения: описание услуги, действующие условия, ответы на типичные вопросы и порядок уточнения нестандартных ситуаций. Это не означает, что каждый сотрудник должен говорить одинаковыми фразами. Важнее непротиворечивость фактов и границ полномочий.</w:t>
      </w:r>
    </w:p>
    <w:p w14:paraId="1B874C09" w14:textId="77777777" w:rsidR="0024026A" w:rsidRDefault="00000000">
      <w:pPr>
        <w:pStyle w:val="21"/>
      </w:pPr>
      <w:r>
        <w:t>Полномочия и ответственность</w:t>
      </w:r>
    </w:p>
    <w:p w14:paraId="307CA320" w14:textId="77777777" w:rsidR="0024026A" w:rsidRDefault="00000000">
      <w:r>
        <w:t>Укажите, кто может подтверждать условия, давать публичный комментарий и исправлять опубликованный материал. Сотрудник не должен угадывать обязательства организации под давлением вопроса. Возможность передать запрос компетентному участнику — часть нормального процесса.</w:t>
      </w:r>
    </w:p>
    <w:p w14:paraId="388AE2C2" w14:textId="77777777" w:rsidR="0024026A" w:rsidRDefault="00000000">
      <w:r>
        <w:t>Внутренняя информация должна обновляться раньше или одновременно с публичными объявлениями. Если клиент узнает о новой услуге, а сотрудники не знают ее условий, возникает организационный разрыв. Дополнительный тренинг вежливости не устранит отсутствие необходимых сведений.</w:t>
      </w:r>
    </w:p>
    <w:p w14:paraId="432A080A" w14:textId="77777777" w:rsidR="0024026A" w:rsidRDefault="00000000">
      <w:r>
        <w:t>Личный профиль сотрудника не следует автоматически считать официальным каналом организации. В учебном проекте предлагается разграничивать роли и заранее согласовывать участие в публичных материалах. Принуждение к личной публичности не является обязательным инструментом корпоративного имиджа.</w:t>
      </w:r>
    </w:p>
    <w:p w14:paraId="3E834020" w14:textId="77777777" w:rsidR="0024026A" w:rsidRDefault="00000000">
      <w:r>
        <w:t>При представлении команды корректно обозначают авторство и вклад. Не нужно приписывать руководителю всю работу или использовать сотрудников как декоративное подтверждение ценностей. Если человек участвует в истории организации, содержание и формат согласуются.</w:t>
      </w:r>
    </w:p>
    <w:p w14:paraId="4C3FD2F5" w14:textId="77777777" w:rsidR="0024026A" w:rsidRDefault="00000000">
      <w:r>
        <w:t>Этические ориентиры точности и конфиденциальности можно сопоставить с кодексом PRSA [3]. При этом конкретные трудовые, договорные и информационные вопросы требуют отдельной проверки применимых правил.</w:t>
      </w:r>
    </w:p>
    <w:p w14:paraId="478CD7D8" w14:textId="77777777" w:rsidR="0024026A" w:rsidRDefault="00000000">
      <w:pPr>
        <w:pStyle w:val="1"/>
        <w:pageBreakBefore/>
        <w:spacing w:before="0"/>
      </w:pPr>
      <w:bookmarkStart w:id="5" w:name="Section_06"/>
      <w:bookmarkEnd w:id="5"/>
      <w:r>
        <w:lastRenderedPageBreak/>
        <w:t>Бренд работодателя и предложение сотруднику</w:t>
      </w:r>
    </w:p>
    <w:p w14:paraId="01416751" w14:textId="77777777" w:rsidR="0024026A" w:rsidRDefault="00000000">
      <w:r>
        <w:t>Бренд работодателя связан с тем, как организация представлена и воспринимается как место работы. Важно различать привлекательный текст вакансии и реальные условия: содержание задач, поддержку, обучение, взаимодействие и возможности развития.</w:t>
      </w:r>
    </w:p>
    <w:p w14:paraId="45254CD7" w14:textId="77777777" w:rsidR="0024026A" w:rsidRDefault="00000000">
      <w:r>
        <w:t>Материалы CIPD связывают работу с брендом работодателя с ценностями и опытом сотрудников [2]. В курсе это используется как основание для сопоставления обещания и практики, а не для обещания гарантированного роста найма после рекламной кампании.</w:t>
      </w:r>
    </w:p>
    <w:p w14:paraId="4301B9B6" w14:textId="77777777" w:rsidR="0024026A" w:rsidRDefault="00000000">
      <w:pPr>
        <w:pStyle w:val="21"/>
      </w:pPr>
      <w:r>
        <w:t>Ценностное предложение работодателя</w:t>
      </w:r>
    </w:p>
    <w:p w14:paraId="343E45BF" w14:textId="77777777" w:rsidR="0024026A" w:rsidRDefault="00000000">
      <w:r>
        <w:t>В учебном шаблоне оно описывает, что организация предлагает сотруднику и каких действий ожидает в обмен. Формулировки должны быть конкретными: какой формат обучения доступен, как организовано введение в работу, кто помогает освоить задачи. Слова «дружная семья» не заменяют ясности условий.</w:t>
      </w:r>
    </w:p>
    <w:p w14:paraId="540686EE" w14:textId="77777777" w:rsidR="0024026A" w:rsidRDefault="00000000">
      <w:r>
        <w:t>Проверяйте предложение на разных этапах: знакомство с вакансией, интервью, первый рабочий период, развитие и завершение сотрудничества. В каждом этапе может возникнуть отдельное расхождение ожиданий. Один красивый рассказ действующего сотрудника не описывает весь опыт организации.</w:t>
      </w:r>
    </w:p>
    <w:p w14:paraId="19732A6F" w14:textId="77777777" w:rsidR="0024026A" w:rsidRDefault="00000000">
      <w:r>
        <w:t>Истории команды полезны при добровольном участии и точном контексте. Нельзя выдавать единичную карьерную траекторию за гарантированный путь для всех. Если речь идет о программе развития, указывают условия участия и действующие ограничения.</w:t>
      </w:r>
    </w:p>
    <w:p w14:paraId="722FB339" w14:textId="77777777" w:rsidR="0024026A" w:rsidRDefault="00000000">
      <w:r>
        <w:t>Для исследования подходят анализ материалов и согласованные интервью. При опросе работников особенно важна конфиденциальность: ответы не должны превращаться в публичную оценку лояльности отдельных людей. В учебной версии можно использовать подготовленный вымышленный набор данных.</w:t>
      </w:r>
    </w:p>
    <w:p w14:paraId="2AFB75D0" w14:textId="77777777" w:rsidR="0024026A" w:rsidRDefault="00000000">
      <w:r>
        <w:t>Результатом становится перечень подтвержденных преимуществ, неясных обещаний и вопросов для проверки. Работа с образом работодателя должна сопровождаться решением обнаруженных организационных проблем, а не только обновлением карьерной страницы.</w:t>
      </w:r>
    </w:p>
    <w:p w14:paraId="0BE379D1" w14:textId="77777777" w:rsidR="0024026A" w:rsidRDefault="00000000">
      <w:pPr>
        <w:pStyle w:val="1"/>
        <w:pageBreakBefore/>
        <w:spacing w:before="0"/>
      </w:pPr>
      <w:bookmarkStart w:id="6" w:name="Section_07"/>
      <w:bookmarkEnd w:id="6"/>
      <w:r>
        <w:lastRenderedPageBreak/>
        <w:t>Социальные заявления и корпоративный аудит</w:t>
      </w:r>
    </w:p>
    <w:p w14:paraId="30C504D1" w14:textId="77777777" w:rsidR="0024026A" w:rsidRDefault="00000000">
      <w:r>
        <w:t>Социальные и экологические заявления требуют той же точности, что и другие обещания. Необходимо понимать объект, период, границы и подтверждение. Формулировка «ответственная организация» слишком широка, если не раскрыто, какие именно действия имеются в виду.</w:t>
      </w:r>
    </w:p>
    <w:p w14:paraId="1156A11E" w14:textId="77777777" w:rsidR="0024026A" w:rsidRDefault="00000000">
      <w:r>
        <w:t>Для учебного анализа предложите вопрос: «Что читатель может обоснованно заключить из этого сообщения?» Фотография благотворительного события подтверждает участие в конкретном эпизоде только при достоверном контексте, но не доказывает всеобъемлющую ответственность организации.</w:t>
      </w:r>
    </w:p>
    <w:p w14:paraId="436FB18C" w14:textId="77777777" w:rsidR="0024026A" w:rsidRDefault="00000000">
      <w:pPr>
        <w:pStyle w:val="21"/>
      </w:pPr>
      <w:r>
        <w:t>Паспорт корпоративного утверждения</w:t>
      </w:r>
    </w:p>
    <w:p w14:paraId="2EFB23CC" w14:textId="77777777" w:rsidR="0024026A" w:rsidRDefault="00000000">
      <w:r>
        <w:t>Укажите формулировку, аудиторию, источник подтверждения, период актуальности, ответственного и допустимое ограничение. Если речь идет о сравнении, требуется ясная база. Если о планируемом действии — его статус не должен выглядеть как уже достигнутый результат.</w:t>
      </w:r>
    </w:p>
    <w:p w14:paraId="73991E13" w14:textId="77777777" w:rsidR="0024026A" w:rsidRDefault="00000000">
      <w:r>
        <w:t>Корпоративный аудит можно организовать по матрице: аудитория — обещание — опыт — доказательство — разрыв — решение. Разрыв классифицируют как информационный, коммуникационный или процессный. Это рабочая схема курса, позволяющая связать анализ с ответственным подразделением.</w:t>
      </w:r>
    </w:p>
    <w:p w14:paraId="5423BE5B" w14:textId="77777777" w:rsidR="0024026A" w:rsidRDefault="00000000">
      <w:r>
        <w:t>Не следует складывать все оценки в единый «индекс имиджа» без объяснения шкал и весов. Иногда полезнее отдельно показать понятность условий, согласованность сообщений и опыт ответа. Общий балл может скрывать важную проблему одной аудитории.</w:t>
      </w:r>
    </w:p>
    <w:p w14:paraId="7A4A81D8" w14:textId="77777777" w:rsidR="0024026A" w:rsidRDefault="00000000">
      <w:r>
        <w:t>Согласование решения включает ресурсы и владельца процесса. Коммуникационный специалист может предложить уточнить обещание, но не должен самостоятельно гарантировать изменение условий работы службы, которой не управляет. В плане указываются зависимости и необходимые решения.</w:t>
      </w:r>
    </w:p>
    <w:p w14:paraId="1764450A" w14:textId="77777777" w:rsidR="0024026A" w:rsidRDefault="00000000">
      <w:pPr>
        <w:pStyle w:val="LectureCallout"/>
        <w:keepLines/>
        <w:pBdr>
          <w:top w:val="single" w:sz="4" w:space="6" w:color="EFF5F6"/>
          <w:left w:val="single" w:sz="16" w:space="8" w:color="176B72"/>
          <w:bottom w:val="single" w:sz="4" w:space="6" w:color="EFF5F6"/>
        </w:pBdr>
        <w:shd w:val="clear" w:color="auto" w:fill="EFF5F6"/>
        <w:spacing w:before="160" w:after="240"/>
        <w:ind w:left="200" w:right="200"/>
      </w:pPr>
      <w:r>
        <w:t>Проверяемое корпоративное сообщение позволяет установить, что сделано, в каких границах и на каком основании. Неопределенный положительный эпитет не заменяет этих сведений.</w:t>
      </w:r>
    </w:p>
    <w:p w14:paraId="7CB956FD" w14:textId="77777777" w:rsidR="0024026A" w:rsidRDefault="00000000">
      <w:pPr>
        <w:pStyle w:val="1"/>
        <w:pageBreakBefore/>
        <w:spacing w:before="0"/>
      </w:pPr>
      <w:bookmarkStart w:id="7" w:name="Section_08"/>
      <w:bookmarkEnd w:id="7"/>
      <w:r>
        <w:lastRenderedPageBreak/>
        <w:t>Учебный кейс: «поддержка круглосуточно»</w:t>
      </w:r>
    </w:p>
    <w:p w14:paraId="6D4B1740" w14:textId="77777777" w:rsidR="0024026A" w:rsidRDefault="00000000">
      <w:r>
        <w:t>Кейс вымышленный. Образовательная студия размещает на сайте обещание «поддержка круглосуточно». В действительности круглосуточно принимаются сообщения, а сотрудники отвечают по рабочим дням с 10:00 до 18:00. Несколько слушателей жалуются на отсутствие ночного ответа.</w:t>
      </w:r>
    </w:p>
    <w:p w14:paraId="74C7EF74" w14:textId="77777777" w:rsidR="0024026A" w:rsidRDefault="00000000">
      <w:pPr>
        <w:pStyle w:val="21"/>
      </w:pPr>
      <w:r>
        <w:t>Диагностика</w:t>
      </w:r>
    </w:p>
    <w:p w14:paraId="353A2310" w14:textId="77777777" w:rsidR="0024026A" w:rsidRDefault="00000000">
      <w:r>
        <w:t>Сайт описывает прием обращения так, что его можно понять как доступность специалиста. Сотрудники пользуются внутренним расписанием, которое клиенту не показано. На основании кейса нельзя утверждать намеренный обман, но можно установить несоответствие публичной формулировки фактическому порядку.</w:t>
      </w:r>
    </w:p>
    <w:p w14:paraId="125FE246" w14:textId="77777777" w:rsidR="0024026A" w:rsidRDefault="00000000">
      <w:r>
        <w:t>Возможны разные решения: организовать реальную круглосуточную поддержку, если это обосновано и обеспечено ресурсами, либо точно описать действующую услугу. Выбор относится к управлению, а не только к редактуре текста.</w:t>
      </w:r>
    </w:p>
    <w:p w14:paraId="03785985" w14:textId="77777777" w:rsidR="0024026A" w:rsidRDefault="00000000">
      <w:pPr>
        <w:pStyle w:val="21"/>
      </w:pPr>
      <w:r>
        <w:t>Согласованная версия</w:t>
      </w:r>
    </w:p>
    <w:p w14:paraId="3B0EFEBC" w14:textId="77777777" w:rsidR="0024026A" w:rsidRDefault="00000000">
      <w:r>
        <w:t>«Сообщение можно отправить в любое время. Специалисты отвечают по рабочим дням с 10:00 до 18:00 по указанному часовому поясу». Дополнительно обозначаются ожидаемый порядок ответа и канал для уточнений. Автоматическое подтверждение не называется решением вопроса.</w:t>
      </w:r>
    </w:p>
    <w:p w14:paraId="494F4DB6" w14:textId="77777777" w:rsidR="0024026A" w:rsidRDefault="00000000">
      <w:r>
        <w:t>Изменение вносится на сайт, в письма и инструкции сотрудников. Ответственный проверяет, что старое обещание не сохранилось в других материалах. Клиентам с незавершенными обращениями сообщают актуальный статус и доступные действия.</w:t>
      </w:r>
    </w:p>
    <w:p w14:paraId="026509AD" w14:textId="77777777" w:rsidR="0024026A" w:rsidRDefault="00000000">
      <w:r>
        <w:t>Для оценки можно проверить понимание нового текста и фактическое соблюдение объявленного порядка. Снижение числа жалоб само по себе неоднозначно: оно может зависеть от объема обращений и способа их регистрации. Нужны сопоставимые данные и содержание обратной связи.</w:t>
      </w:r>
    </w:p>
    <w:p w14:paraId="7930DB0E" w14:textId="77777777" w:rsidR="0024026A" w:rsidRDefault="00000000">
      <w:r>
        <w:t>Кейс показывает, почему корпоративный имидж требует согласования коммуникации и процесса. Более дружелюбная интонация ответа не устранила бы исходную неясность обещания.</w:t>
      </w:r>
    </w:p>
    <w:p w14:paraId="6250A48B" w14:textId="77777777" w:rsidR="0024026A" w:rsidRDefault="00000000">
      <w:pPr>
        <w:pStyle w:val="1"/>
        <w:pageBreakBefore/>
        <w:spacing w:before="0"/>
      </w:pPr>
      <w:bookmarkStart w:id="8" w:name="Section_09"/>
      <w:bookmarkEnd w:id="8"/>
      <w:r>
        <w:lastRenderedPageBreak/>
        <w:t>Самостоятельная работа: корпоративная карта согласованности</w:t>
      </w:r>
    </w:p>
    <w:p w14:paraId="4AC54E06" w14:textId="77777777" w:rsidR="0024026A" w:rsidRDefault="00000000">
      <w:r>
        <w:t>Выберите учебную организацию или небольшой реальный объект с доступными материалами. Ограничьте анализ двумя аудиториями и тремя обещаниями. Укажите период и источники: сайт, описание услуги, вакансия, опубликованные документы или специально подготовленный набор отзывов.</w:t>
      </w:r>
    </w:p>
    <w:p w14:paraId="0E4F1ABE" w14:textId="77777777" w:rsidR="0024026A" w:rsidRDefault="00000000">
      <w:r>
        <w:t>Для каждого обещания заполните карту: формулировка, ожидаемое действие, доступное подтверждение, ограничение и возможное расхождение. Не делайте выводов о внутренних процессах, если о них нет данных. В таком случае сформулируйте вопрос для дальнейшей проверки.</w:t>
      </w:r>
    </w:p>
    <w:p w14:paraId="0BC1A758" w14:textId="77777777" w:rsidR="0024026A" w:rsidRDefault="00000000">
      <w:pPr>
        <w:pStyle w:val="21"/>
      </w:pPr>
      <w:r>
        <w:t>План изменений</w:t>
      </w:r>
    </w:p>
    <w:p w14:paraId="1F3D96EA" w14:textId="77777777" w:rsidR="0024026A" w:rsidRDefault="00000000">
      <w:r>
        <w:t>Предложите одно изменение сообщения и одно изменение процесса. Укажите, кто должен их согласовать, какой ресурс требуется и по какому признаку будет проверен результат. Если процесс уже соответствует обещанию, объясните, почему достаточно коммуникационной правки.</w:t>
      </w:r>
    </w:p>
    <w:p w14:paraId="18D34E7A" w14:textId="77777777" w:rsidR="0024026A" w:rsidRDefault="00000000">
      <w:r>
        <w:t>Подготовьте два согласованных текста для разных аудиторий: например, описание услуги для клиента и памятку сотруднику. Они могут различаться деталями, но не должны содержать противоречащие условия.</w:t>
      </w:r>
    </w:p>
    <w:p w14:paraId="7D764C06" w14:textId="77777777" w:rsidR="0024026A" w:rsidRDefault="00000000">
      <w:r>
        <w:t>Оценивание: качество исходной диагностики — 3 балла; разграничение аудиторий — 2; связь решений с причиной — 2; реалистичность ответственности и проверки — 2; этическая корректность — 1. Максимум — 10 баллов.</w:t>
      </w:r>
    </w:p>
    <w:p w14:paraId="3E4F7ABD" w14:textId="77777777" w:rsidR="0024026A" w:rsidRDefault="00000000">
      <w:r>
        <w:t>Отчет объемом 1000–1200 слов должен отделять установленные сведения, интерпретации и рекомендации. Приложите фрагменты материалов или точные ссылки. При использовании реальных отзывов не раскрывайте дополнительные персональные сведения и не превращайте учебный анализ в публичную кампанию против объекта.</w:t>
      </w:r>
    </w:p>
    <w:p w14:paraId="0A24888B" w14:textId="77777777" w:rsidR="0024026A" w:rsidRDefault="00000000">
      <w:r>
        <w:t>На форуме обсудите одно обещание, которое нельзя исправить только новым текстом. Объясните, какого операционного решения оно требует.</w:t>
      </w:r>
    </w:p>
    <w:p w14:paraId="3696F4D8" w14:textId="77777777" w:rsidR="0024026A" w:rsidRDefault="00000000">
      <w:pPr>
        <w:pStyle w:val="1"/>
        <w:pageBreakBefore/>
        <w:spacing w:before="0"/>
      </w:pPr>
      <w:bookmarkStart w:id="9" w:name="Section_10"/>
      <w:bookmarkEnd w:id="9"/>
      <w:r>
        <w:lastRenderedPageBreak/>
        <w:t>Самопроверка и источники</w:t>
      </w:r>
    </w:p>
    <w:p w14:paraId="583BCCB9" w14:textId="77777777" w:rsidR="0024026A" w:rsidRDefault="00000000">
      <w:pPr>
        <w:pStyle w:val="21"/>
      </w:pPr>
      <w:r>
        <w:t>Вопросы</w:t>
      </w:r>
    </w:p>
    <w:p w14:paraId="0929AF46" w14:textId="77777777" w:rsidR="0024026A" w:rsidRDefault="00000000">
      <w:r>
        <w:t>1. Чем идентичность отличается от внешнего имиджа? 2. Почему аудитории нельзя усреднять? 3. Чем прием обращения отличается от решения? 4. Что проверяют в предложении работодателя? 5. Как отличить коммуникационный разрыв от процессного?</w:t>
      </w:r>
    </w:p>
    <w:p w14:paraId="1F35D0A5" w14:textId="77777777" w:rsidR="0024026A" w:rsidRDefault="00000000">
      <w:pPr>
        <w:pStyle w:val="21"/>
      </w:pPr>
      <w:r>
        <w:t>Ответы-ориентиры</w:t>
      </w:r>
    </w:p>
    <w:p w14:paraId="6E9216F7" w14:textId="77777777" w:rsidR="0024026A" w:rsidRDefault="00000000">
      <w:r>
        <w:t>Идентичность описывает самоопределение, имидж — восприятие аудитории. Группы сталкиваются с разными задачами и опытом. Прием фиксирует запрос, решение меняет его статус по существу. Предложение работодателя сопоставляют с конкретными условиями и опытом. Коммуникационный разрыв связан с объяснением, процессный — с выполнением действия; они могут сочетаться.</w:t>
      </w:r>
    </w:p>
    <w:p w14:paraId="7587F771" w14:textId="77777777" w:rsidR="0024026A" w:rsidRDefault="00000000">
      <w:pPr>
        <w:pStyle w:val="21"/>
      </w:pPr>
      <w:r>
        <w:t>Итог и термины</w:t>
      </w:r>
    </w:p>
    <w:p w14:paraId="7C2C91AC" w14:textId="77777777" w:rsidR="0024026A" w:rsidRDefault="00000000">
      <w:r>
        <w:t>Корпоративная идентичность — самоопределение организации; культура — устойчивые способы работы; бренд работодателя — представление организации как места работы; точка контакта — ситуация взаимодействия; карта обещания — связь заявления, действия и подтверждения.</w:t>
      </w:r>
    </w:p>
    <w:p w14:paraId="54DD7BC7" w14:textId="77777777" w:rsidR="0024026A" w:rsidRDefault="00000000">
      <w:r>
        <w:t>Корпоративный имидж требует согласованности публичных сообщений, внутренних условий и реального опыта. Ответственность за него распределяется между коммуникацией и управлением процессами.</w:t>
      </w:r>
    </w:p>
    <w:p w14:paraId="4FE26AB7" w14:textId="77777777" w:rsidR="0024026A" w:rsidRDefault="00000000">
      <w:pPr>
        <w:pStyle w:val="21"/>
      </w:pPr>
      <w:r>
        <w:t>Источники и дальнейшее чтение</w:t>
      </w:r>
    </w:p>
    <w:p w14:paraId="3C24DE20" w14:textId="77777777" w:rsidR="0024026A" w:rsidRPr="0018716D" w:rsidRDefault="00000000">
      <w:pPr>
        <w:pStyle w:val="LectureReference"/>
        <w:rPr>
          <w:lang w:val="en-US"/>
        </w:rPr>
      </w:pPr>
      <w:r w:rsidRPr="0018716D">
        <w:rPr>
          <w:lang w:val="en-US"/>
        </w:rPr>
        <w:t xml:space="preserve">[1] Hatch M. J., Schultz M. Relations between Organizational Culture, Identity and Image. European Journal of Marketing. 1997. Vol. 31(5/6). P. 356–365. </w:t>
      </w:r>
      <w:hyperlink r:id="rId8" w:history="1">
        <w:r>
          <w:rPr>
            <w:color w:val="176B72"/>
            <w:u w:val="single"/>
          </w:rPr>
          <w:t>Перейти</w:t>
        </w:r>
        <w:r w:rsidRPr="0018716D">
          <w:rPr>
            <w:color w:val="176B72"/>
            <w:u w:val="single"/>
            <w:lang w:val="en-US"/>
          </w:rPr>
          <w:t xml:space="preserve"> </w:t>
        </w:r>
        <w:r>
          <w:rPr>
            <w:color w:val="176B72"/>
            <w:u w:val="single"/>
          </w:rPr>
          <w:t>к</w:t>
        </w:r>
        <w:r w:rsidRPr="0018716D">
          <w:rPr>
            <w:color w:val="176B72"/>
            <w:u w:val="single"/>
            <w:lang w:val="en-US"/>
          </w:rPr>
          <w:t xml:space="preserve"> </w:t>
        </w:r>
        <w:r>
          <w:rPr>
            <w:color w:val="176B72"/>
            <w:u w:val="single"/>
          </w:rPr>
          <w:t>источнику</w:t>
        </w:r>
      </w:hyperlink>
      <w:r w:rsidRPr="0018716D">
        <w:rPr>
          <w:lang w:val="en-US"/>
        </w:rPr>
        <w:t>.</w:t>
      </w:r>
    </w:p>
    <w:p w14:paraId="6D6A3DD3" w14:textId="77777777" w:rsidR="0024026A" w:rsidRPr="0018716D" w:rsidRDefault="00000000">
      <w:pPr>
        <w:pStyle w:val="LectureReference"/>
        <w:rPr>
          <w:lang w:val="en-US"/>
        </w:rPr>
      </w:pPr>
      <w:r w:rsidRPr="0018716D">
        <w:rPr>
          <w:lang w:val="en-US"/>
        </w:rPr>
        <w:t xml:space="preserve">[2] CIPD. Employer Brand. Factsheet, 18.12.2025. </w:t>
      </w:r>
      <w:hyperlink r:id="rId9" w:history="1">
        <w:r>
          <w:rPr>
            <w:color w:val="176B72"/>
            <w:u w:val="single"/>
          </w:rPr>
          <w:t>Перейти</w:t>
        </w:r>
        <w:r w:rsidRPr="0018716D">
          <w:rPr>
            <w:color w:val="176B72"/>
            <w:u w:val="single"/>
            <w:lang w:val="en-US"/>
          </w:rPr>
          <w:t xml:space="preserve"> </w:t>
        </w:r>
        <w:r>
          <w:rPr>
            <w:color w:val="176B72"/>
            <w:u w:val="single"/>
          </w:rPr>
          <w:t>к</w:t>
        </w:r>
        <w:r w:rsidRPr="0018716D">
          <w:rPr>
            <w:color w:val="176B72"/>
            <w:u w:val="single"/>
            <w:lang w:val="en-US"/>
          </w:rPr>
          <w:t xml:space="preserve"> </w:t>
        </w:r>
        <w:r>
          <w:rPr>
            <w:color w:val="176B72"/>
            <w:u w:val="single"/>
          </w:rPr>
          <w:t>источнику</w:t>
        </w:r>
      </w:hyperlink>
      <w:r w:rsidRPr="0018716D">
        <w:rPr>
          <w:lang w:val="en-US"/>
        </w:rPr>
        <w:t>.</w:t>
      </w:r>
    </w:p>
    <w:p w14:paraId="1FD2BD71" w14:textId="77777777" w:rsidR="0024026A" w:rsidRDefault="00000000">
      <w:pPr>
        <w:pStyle w:val="LectureReference"/>
      </w:pPr>
      <w:r>
        <w:t xml:space="preserve">[3] PRSA. Code of Ethics. Профессиональный этический кодекс; не заменяет применимое законодательство. </w:t>
      </w:r>
      <w:hyperlink r:id="rId10" w:history="1">
        <w:r>
          <w:rPr>
            <w:color w:val="176B72"/>
            <w:u w:val="single"/>
          </w:rPr>
          <w:t>Перейти к источнику</w:t>
        </w:r>
      </w:hyperlink>
      <w:r>
        <w:t>.</w:t>
      </w:r>
    </w:p>
    <w:p w14:paraId="72BA6034" w14:textId="77777777" w:rsidR="0024026A" w:rsidRDefault="00000000">
      <w:pPr>
        <w:pStyle w:val="LectureReference"/>
      </w:pPr>
      <w:r>
        <w:t>Электронные ресурсы проверялись при подготовке комплекта 27.09.2026. Академические публикации приведены для дальнейшего чтения; доступ к полному тексту может быть ограничен. Кейсы, шаблоны и задания разработаны для этого курса.</w:t>
      </w:r>
    </w:p>
    <w:sectPr w:rsidR="0024026A" w:rsidSect="00034616">
      <w:headerReference w:type="default" r:id="rId11"/>
      <w:footerReference w:type="default" r:id="rId12"/>
      <w:pgSz w:w="11906" w:h="16838"/>
      <w:pgMar w:top="1219" w:right="1219" w:bottom="1134" w:left="1219"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AD98" w14:textId="77777777" w:rsidR="00D1432C" w:rsidRDefault="00D1432C">
      <w:pPr>
        <w:spacing w:after="0" w:line="240" w:lineRule="auto"/>
      </w:pPr>
      <w:r>
        <w:separator/>
      </w:r>
    </w:p>
  </w:endnote>
  <w:endnote w:type="continuationSeparator" w:id="0">
    <w:p w14:paraId="7389AFCB" w14:textId="77777777" w:rsidR="00D1432C" w:rsidRDefault="00D14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A6015" w14:textId="3BEA38D9" w:rsidR="0024026A" w:rsidRDefault="00000000">
    <w:pPr>
      <w:pStyle w:val="a7"/>
      <w:pBdr>
        <w:top w:val="single" w:sz="4" w:space="7" w:color="CDDAE0"/>
      </w:pBdr>
      <w:tabs>
        <w:tab w:val="right" w:pos="9468"/>
      </w:tabs>
      <w:spacing w:before="80"/>
    </w:pPr>
    <w:r>
      <w:tab/>
    </w:r>
    <w:r>
      <w:rPr>
        <w:sz w:val="17"/>
      </w:rPr>
      <w:fldChar w:fldCharType="begin"/>
    </w:r>
    <w:r>
      <w:rPr>
        <w:sz w:val="17"/>
      </w:rPr>
      <w:instrText xml:space="preserve"> PAGE </w:instrText>
    </w:r>
    <w:r>
      <w:rPr>
        <w:sz w:val="17"/>
      </w:rPr>
      <w:fldChar w:fldCharType="separate"/>
    </w:r>
    <w:r>
      <w:rPr>
        <w:sz w:val="17"/>
      </w:rPr>
      <w:t>1</w:t>
    </w:r>
    <w:r>
      <w:rPr>
        <w:sz w:val="17"/>
      </w:rPr>
      <w:fldChar w:fldCharType="end"/>
    </w:r>
    <w:r>
      <w:rPr>
        <w:sz w:val="17"/>
      </w:rPr>
      <w:t xml:space="preserve"> / </w:t>
    </w:r>
    <w:r>
      <w:rPr>
        <w:sz w:val="17"/>
      </w:rPr>
      <w:fldChar w:fldCharType="begin"/>
    </w:r>
    <w:r>
      <w:rPr>
        <w:sz w:val="17"/>
      </w:rPr>
      <w:instrText xml:space="preserve"> NUMPAGES </w:instrText>
    </w:r>
    <w:r>
      <w:rPr>
        <w:sz w:val="17"/>
      </w:rPr>
      <w:fldChar w:fldCharType="separate"/>
    </w:r>
    <w:r>
      <w:rPr>
        <w:sz w:val="17"/>
      </w:rPr>
      <w:t>10</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FB049" w14:textId="77777777" w:rsidR="00D1432C" w:rsidRDefault="00D1432C">
      <w:pPr>
        <w:spacing w:after="0" w:line="240" w:lineRule="auto"/>
      </w:pPr>
      <w:r>
        <w:separator/>
      </w:r>
    </w:p>
  </w:footnote>
  <w:footnote w:type="continuationSeparator" w:id="0">
    <w:p w14:paraId="01D5640C" w14:textId="77777777" w:rsidR="00D1432C" w:rsidRDefault="00D14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D4DC" w14:textId="2D694E36" w:rsidR="0024026A" w:rsidRDefault="00000000">
    <w:pPr>
      <w:pStyle w:val="a5"/>
      <w:pBdr>
        <w:bottom w:val="single" w:sz="4" w:space="7" w:color="CDDAE0"/>
      </w:pBdr>
      <w:tabs>
        <w:tab w:val="right" w:pos="9468"/>
      </w:tabs>
      <w:spacing w:after="120"/>
    </w:pPr>
    <w:proofErr w:type="gramStart"/>
    <w:r>
      <w:rPr>
        <w:b/>
        <w:color w:val="176B72"/>
      </w:rPr>
      <w:t>ИМИДЖМЕЙКЕРСТВО  /</w:t>
    </w:r>
    <w:proofErr w:type="gramEnd"/>
    <w:r>
      <w:rPr>
        <w:b/>
        <w:color w:val="176B72"/>
      </w:rPr>
      <w:t xml:space="preserve">  ЛЕКЦИЯ 13</w:t>
    </w:r>
    <w:r>
      <w:rPr>
        <w:sz w:val="15"/>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97860789">
    <w:abstractNumId w:val="8"/>
  </w:num>
  <w:num w:numId="2" w16cid:durableId="614749771">
    <w:abstractNumId w:val="6"/>
  </w:num>
  <w:num w:numId="3" w16cid:durableId="321735470">
    <w:abstractNumId w:val="5"/>
  </w:num>
  <w:num w:numId="4" w16cid:durableId="479078749">
    <w:abstractNumId w:val="4"/>
  </w:num>
  <w:num w:numId="5" w16cid:durableId="1731076801">
    <w:abstractNumId w:val="7"/>
  </w:num>
  <w:num w:numId="6" w16cid:durableId="2110344843">
    <w:abstractNumId w:val="3"/>
  </w:num>
  <w:num w:numId="7" w16cid:durableId="1495409902">
    <w:abstractNumId w:val="2"/>
  </w:num>
  <w:num w:numId="8" w16cid:durableId="353193211">
    <w:abstractNumId w:val="1"/>
  </w:num>
  <w:num w:numId="9" w16cid:durableId="339814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8716D"/>
    <w:rsid w:val="0024026A"/>
    <w:rsid w:val="0029639D"/>
    <w:rsid w:val="00326F90"/>
    <w:rsid w:val="00AA1D8D"/>
    <w:rsid w:val="00B47730"/>
    <w:rsid w:val="00CB0664"/>
    <w:rsid w:val="00CB62F3"/>
    <w:rsid w:val="00D1432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505297"/>
  <w14:defaultImageDpi w14:val="300"/>
  <w15:docId w15:val="{55B5B0BF-EAFF-4615-A755-0A90BE84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78" w:lineRule="auto"/>
    </w:pPr>
    <w:rPr>
      <w:rFonts w:ascii="Times New Roman" w:eastAsia="Times New Roman" w:hAnsi="Times New Roman" w:cs="Times New Roman"/>
      <w:color w:val="202830"/>
      <w:sz w:val="26"/>
      <w:lang w:val="ru-RU" w:eastAsia="ru-RU"/>
    </w:rPr>
  </w:style>
  <w:style w:type="paragraph" w:styleId="1">
    <w:name w:val="heading 1"/>
    <w:basedOn w:val="a1"/>
    <w:next w:val="a1"/>
    <w:link w:val="10"/>
    <w:uiPriority w:val="9"/>
    <w:qFormat/>
    <w:rsid w:val="00FC693F"/>
    <w:pPr>
      <w:keepNext/>
      <w:keepLines/>
      <w:spacing w:before="40" w:after="240" w:line="254" w:lineRule="auto"/>
      <w:outlineLvl w:val="0"/>
    </w:pPr>
    <w:rPr>
      <w:rFonts w:ascii="Arial" w:eastAsia="Arial" w:hAnsi="Arial" w:cs="Arial"/>
      <w:b/>
      <w:bCs/>
      <w:color w:val="19354A"/>
      <w:sz w:val="34"/>
      <w:szCs w:val="28"/>
    </w:rPr>
  </w:style>
  <w:style w:type="paragraph" w:styleId="21">
    <w:name w:val="heading 2"/>
    <w:basedOn w:val="a1"/>
    <w:next w:val="a1"/>
    <w:link w:val="22"/>
    <w:uiPriority w:val="9"/>
    <w:unhideWhenUsed/>
    <w:qFormat/>
    <w:rsid w:val="00FC693F"/>
    <w:pPr>
      <w:keepNext/>
      <w:keepLines/>
      <w:spacing w:before="180" w:after="120" w:line="254" w:lineRule="auto"/>
      <w:outlineLvl w:val="1"/>
    </w:pPr>
    <w:rPr>
      <w:rFonts w:ascii="Arial" w:eastAsia="Arial" w:hAnsi="Arial" w:cs="Arial"/>
      <w:b/>
      <w:bCs/>
      <w:color w:val="19354A"/>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spacing w:after="0" w:line="240" w:lineRule="auto"/>
    </w:pPr>
    <w:rPr>
      <w:rFonts w:ascii="Arial" w:eastAsia="Arial" w:hAnsi="Arial" w:cs="Arial"/>
      <w:color w:val="53616A"/>
      <w:sz w:val="16"/>
    </w:r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spacing w:after="0" w:line="240" w:lineRule="auto"/>
    </w:pPr>
    <w:rPr>
      <w:rFonts w:ascii="Arial" w:eastAsia="Arial" w:hAnsi="Arial" w:cs="Arial"/>
      <w:color w:val="53616A"/>
      <w:sz w:val="16"/>
    </w:r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before="40" w:after="260" w:line="250" w:lineRule="auto"/>
      <w:contextualSpacing/>
    </w:pPr>
    <w:rPr>
      <w:rFonts w:ascii="Arial" w:eastAsia="Arial" w:hAnsi="Arial" w:cs="Arial"/>
      <w:b/>
      <w:color w:val="19354A"/>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spacing w:after="240" w:line="259" w:lineRule="auto"/>
    </w:pPr>
    <w:rPr>
      <w:rFonts w:ascii="Arial" w:eastAsia="Arial" w:hAnsi="Arial" w:cs="Arial"/>
      <w:b/>
      <w:iCs/>
      <w:color w:val="176B72"/>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ctureReference">
    <w:name w:val="Lecture Reference"/>
    <w:pPr>
      <w:spacing w:after="100" w:line="269" w:lineRule="auto"/>
    </w:pPr>
    <w:rPr>
      <w:rFonts w:ascii="Arial" w:eastAsia="Arial" w:hAnsi="Arial" w:cs="Arial"/>
      <w:color w:val="53616A"/>
      <w:sz w:val="18"/>
      <w:lang w:val="ru-RU" w:eastAsia="ru-RU"/>
    </w:rPr>
  </w:style>
  <w:style w:type="paragraph" w:customStyle="1" w:styleId="LectureCallout">
    <w:name w:val="Lecture Callout"/>
    <w:pPr>
      <w:spacing w:after="100" w:line="269" w:lineRule="auto"/>
    </w:pPr>
    <w:rPr>
      <w:rFonts w:ascii="Arial" w:eastAsia="Arial" w:hAnsi="Arial" w:cs="Arial"/>
      <w:color w:val="19354A"/>
      <w:lang w:val="ru-RU" w:eastAsia="ru-RU"/>
    </w:rPr>
  </w:style>
  <w:style w:type="paragraph" w:customStyle="1" w:styleId="LectureTable">
    <w:name w:val="Lecture Table"/>
    <w:pPr>
      <w:spacing w:after="100" w:line="269" w:lineRule="auto"/>
    </w:pPr>
    <w:rPr>
      <w:rFonts w:ascii="Arial" w:eastAsia="Arial" w:hAnsi="Arial" w:cs="Arial"/>
      <w:color w:val="19354A"/>
      <w:sz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0309056971016758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rsa.org/professional-development/prsa-resources/ethics" TargetMode="External"/><Relationship Id="rId4" Type="http://schemas.openxmlformats.org/officeDocument/2006/relationships/settings" Target="settings.xml"/><Relationship Id="rId9" Type="http://schemas.openxmlformats.org/officeDocument/2006/relationships/hyperlink" Target="https://www.cipd.org/en/knowledge/factsheets/recruitment-brand-factshe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2740</Words>
  <Characters>15620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Корпоративный имидж: организация, руководитель и сотрудники</dc:title>
  <dc:subject>Имиджмейкерство. Лекция 13. Дистанционный курс для бакалавриата.</dc:subject>
  <dc:creator/>
  <cp:keywords>имиджмейкерство, лекция, бакалавриат, дистанционное обучение</cp:keywords>
  <dc:description/>
  <cp:lastModifiedBy>Mikhail Sizov</cp:lastModifiedBy>
  <cp:revision>3</cp:revision>
  <dcterms:created xsi:type="dcterms:W3CDTF">2013-12-23T23:15:00Z</dcterms:created>
  <dcterms:modified xsi:type="dcterms:W3CDTF">2026-09-27T19:57:00Z</dcterms:modified>
  <cp:category/>
</cp:coreProperties>
</file>