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4EA92" w14:textId="77777777" w:rsidR="0020595D" w:rsidRDefault="00000000">
      <w:pPr>
        <w:pStyle w:val="aa"/>
        <w:spacing w:before="0"/>
      </w:pPr>
      <w:bookmarkStart w:id="0" w:name="Section_01"/>
      <w:bookmarkEnd w:id="0"/>
      <w:r>
        <w:t>Цифровой имидж и ответственное использование ИИ</w:t>
      </w:r>
    </w:p>
    <w:p w14:paraId="5157D65A" w14:textId="77777777" w:rsidR="0020595D" w:rsidRDefault="00000000">
      <w:pPr>
        <w:pStyle w:val="ac"/>
      </w:pPr>
      <w:r>
        <w:t>Цифровое представление как система материалов</w:t>
      </w:r>
    </w:p>
    <w:p w14:paraId="31C72971" w14:textId="77777777" w:rsidR="0020595D" w:rsidRDefault="00000000">
      <w:r>
        <w:t>Цифровой имидж — представления об объекте, складывающиеся при взаимодействии с его материалами и упоминаниями в цифровой среде. Анализ включает профиль, публикации, портфолио, комментарии и доступные отзывы. Нельзя сводить его к оформлению одной страницы или к количеству подписчиков.</w:t>
      </w:r>
    </w:p>
    <w:p w14:paraId="408D995C" w14:textId="77777777" w:rsidR="0020595D" w:rsidRDefault="00000000">
      <w:r>
        <w:t>Исследование Л. Лабрек и соавторов рассматривает онлайн-персональный брендинг как процесс с собственными трудностями управления представлением о себе [1]. В учебной работе важно различать материалы автора, совместно созданные сообщения и независимые публикации: степень контроля над ними неодинакова.</w:t>
      </w:r>
    </w:p>
    <w:p w14:paraId="134138F0" w14:textId="77777777" w:rsidR="0020595D" w:rsidRDefault="00000000">
      <w:pPr>
        <w:pStyle w:val="21"/>
      </w:pPr>
      <w:r>
        <w:t>Результаты изучения темы</w:t>
      </w:r>
    </w:p>
    <w:p w14:paraId="483212D9" w14:textId="77777777" w:rsidR="0020595D" w:rsidRDefault="00000000">
      <w:r>
        <w:t>Студент научится проводить ограниченный цифровой аудит; согласовывать профессиональные профили; разрабатывать контент под информационную задачу; отвечать на обратную связь; определять границы публичности; использовать генеративный ИИ для подготовки черновиков без подмены фактов и авторства.</w:t>
      </w:r>
    </w:p>
    <w:p w14:paraId="4409E97F" w14:textId="77777777" w:rsidR="0020595D" w:rsidRDefault="00000000">
      <w:r>
        <w:t>Тема не привязана к интерфейсу конкретной социальной сети. Настройки, правила площадок и возможности инструментов меняются, поэтому перед практическими действиями необходимо проверять актуальные официальные инструкции. Здесь изучается логика решений, которую можно переносить между сервисами.</w:t>
      </w:r>
    </w:p>
    <w:p w14:paraId="4B4F7EBC" w14:textId="77777777" w:rsidR="0020595D" w:rsidRDefault="00000000">
      <w:pPr>
        <w:pStyle w:val="LectureCallout"/>
        <w:keepLines/>
        <w:pBdr>
          <w:top w:val="single" w:sz="4" w:space="6" w:color="EFF5F6"/>
          <w:left w:val="single" w:sz="16" w:space="8" w:color="176B72"/>
          <w:bottom w:val="single" w:sz="4" w:space="6" w:color="EFF5F6"/>
        </w:pBdr>
        <w:shd w:val="clear" w:color="auto" w:fill="EFF5F6"/>
        <w:spacing w:before="160" w:after="240"/>
        <w:ind w:left="200" w:right="200"/>
      </w:pPr>
      <w:r>
        <w:t>Цифровая согласованность означает, что аудитория получает непротиворечивое представление о роли, опыте и условиях взаимодействия. Она не требует публиковать одинаковый текст везде.</w:t>
      </w:r>
    </w:p>
    <w:p w14:paraId="43BDC4B8" w14:textId="77777777" w:rsidR="0020595D" w:rsidRDefault="00000000">
      <w:r>
        <w:t>Итог недели — макет цифрового профиля, контент-план и журнал проверки материалов. Все задания допускают выполнение в закрытой учебной среде без создания реального публичного аккаунта.</w:t>
      </w:r>
    </w:p>
    <w:p w14:paraId="62309930" w14:textId="77777777" w:rsidR="0020595D" w:rsidRDefault="00000000">
      <w:pPr>
        <w:pStyle w:val="1"/>
        <w:pageBreakBefore/>
        <w:spacing w:before="0"/>
      </w:pPr>
      <w:bookmarkStart w:id="1" w:name="Section_02"/>
      <w:bookmarkEnd w:id="1"/>
      <w:r>
        <w:lastRenderedPageBreak/>
        <w:t>Цифровой аудит: что именно проверять</w:t>
      </w:r>
    </w:p>
    <w:p w14:paraId="7D71B82D" w14:textId="77777777" w:rsidR="0020595D" w:rsidRDefault="00000000">
      <w:r>
        <w:t>Аудит начинается с границ: объект, площадки, период и вопросы. Например: «Можно ли по доступным материалам определить специализацию и найти подтверждения опыта?» Такой вопрос уже, чем неопределенное «хорошо ли человек выглядит в интернете», и позволяет выбрать критерии.</w:t>
      </w:r>
    </w:p>
    <w:p w14:paraId="0EB38C37" w14:textId="77777777" w:rsidR="0020595D" w:rsidRDefault="00000000">
      <w:r>
        <w:t>Составьте реестр материалов: адрес или локальная копия, дата проверки, владелец, статус актуальности и функция. Отделяйте информацию, опубликованную самим объектом, от чужих оценок. Наличие упоминания не означает, что автор профиля согласен с его содержанием.</w:t>
      </w:r>
    </w:p>
    <w:tbl>
      <w:tblPr>
        <w:tblW w:w="9468" w:type="dxa"/>
        <w:jc w:val="center"/>
        <w:tblBorders>
          <w:top w:val="single" w:sz="4" w:space="0" w:color="CDDAE0"/>
          <w:left w:val="nil"/>
          <w:bottom w:val="single" w:sz="4" w:space="0" w:color="CDDAE0"/>
          <w:right w:val="nil"/>
          <w:insideH w:val="single" w:sz="4" w:space="0" w:color="CDDAE0"/>
          <w:insideV w:val="nil"/>
        </w:tblBorders>
        <w:tblLayout w:type="fixed"/>
        <w:tblCellMar>
          <w:top w:w="88" w:type="dxa"/>
          <w:left w:w="115" w:type="dxa"/>
          <w:bottom w:w="88" w:type="dxa"/>
          <w:right w:w="115" w:type="dxa"/>
        </w:tblCellMar>
        <w:tblLook w:val="04A0" w:firstRow="1" w:lastRow="0" w:firstColumn="1" w:lastColumn="0" w:noHBand="0" w:noVBand="1"/>
      </w:tblPr>
      <w:tblGrid>
        <w:gridCol w:w="2272"/>
        <w:gridCol w:w="3030"/>
        <w:gridCol w:w="4166"/>
      </w:tblGrid>
      <w:tr w:rsidR="0020595D" w14:paraId="233D2A18" w14:textId="77777777">
        <w:trPr>
          <w:cantSplit/>
          <w:tblHeader/>
          <w:jc w:val="center"/>
        </w:trPr>
        <w:tc>
          <w:tcPr>
            <w:tcW w:w="2272" w:type="dxa"/>
            <w:shd w:val="clear" w:color="auto" w:fill="19354A"/>
          </w:tcPr>
          <w:p w14:paraId="1916C2D2" w14:textId="77777777" w:rsidR="0020595D" w:rsidRDefault="00000000">
            <w:pPr>
              <w:pStyle w:val="LectureTable"/>
              <w:keepNext/>
              <w:spacing w:after="0"/>
            </w:pPr>
            <w:r>
              <w:rPr>
                <w:b/>
                <w:color w:val="FFFFFF"/>
              </w:rPr>
              <w:t>Проверяемый элемент</w:t>
            </w:r>
          </w:p>
        </w:tc>
        <w:tc>
          <w:tcPr>
            <w:tcW w:w="3030" w:type="dxa"/>
            <w:shd w:val="clear" w:color="auto" w:fill="19354A"/>
          </w:tcPr>
          <w:p w14:paraId="193CA58B" w14:textId="77777777" w:rsidR="0020595D" w:rsidRDefault="00000000">
            <w:pPr>
              <w:pStyle w:val="LectureTable"/>
              <w:keepNext/>
              <w:spacing w:after="0"/>
            </w:pPr>
            <w:r>
              <w:rPr>
                <w:b/>
                <w:color w:val="FFFFFF"/>
              </w:rPr>
              <w:t>Вопрос аудита</w:t>
            </w:r>
          </w:p>
        </w:tc>
        <w:tc>
          <w:tcPr>
            <w:tcW w:w="4166" w:type="dxa"/>
            <w:shd w:val="clear" w:color="auto" w:fill="19354A"/>
          </w:tcPr>
          <w:p w14:paraId="46A78243" w14:textId="77777777" w:rsidR="0020595D" w:rsidRDefault="00000000">
            <w:pPr>
              <w:pStyle w:val="LectureTable"/>
              <w:keepNext/>
              <w:spacing w:after="0"/>
            </w:pPr>
            <w:r>
              <w:rPr>
                <w:b/>
                <w:color w:val="FFFFFF"/>
              </w:rPr>
              <w:t>Возможное действие</w:t>
            </w:r>
          </w:p>
        </w:tc>
      </w:tr>
      <w:tr w:rsidR="0020595D" w14:paraId="470437EC" w14:textId="77777777">
        <w:trPr>
          <w:cantSplit/>
          <w:jc w:val="center"/>
        </w:trPr>
        <w:tc>
          <w:tcPr>
            <w:tcW w:w="2272" w:type="dxa"/>
            <w:shd w:val="clear" w:color="auto" w:fill="F0F4F6"/>
          </w:tcPr>
          <w:p w14:paraId="7C84A7D1" w14:textId="77777777" w:rsidR="0020595D" w:rsidRDefault="00000000">
            <w:pPr>
              <w:pStyle w:val="LectureTable"/>
              <w:keepNext/>
              <w:spacing w:after="0"/>
            </w:pPr>
            <w:r>
              <w:t>Описание роли</w:t>
            </w:r>
          </w:p>
        </w:tc>
        <w:tc>
          <w:tcPr>
            <w:tcW w:w="3030" w:type="dxa"/>
            <w:shd w:val="clear" w:color="auto" w:fill="F0F4F6"/>
          </w:tcPr>
          <w:p w14:paraId="0826F99C" w14:textId="77777777" w:rsidR="0020595D" w:rsidRDefault="00000000">
            <w:pPr>
              <w:pStyle w:val="LectureTable"/>
              <w:keepNext/>
              <w:spacing w:after="0"/>
            </w:pPr>
            <w:r>
              <w:t>Понятны ли задачи специалиста?</w:t>
            </w:r>
          </w:p>
        </w:tc>
        <w:tc>
          <w:tcPr>
            <w:tcW w:w="4166" w:type="dxa"/>
            <w:shd w:val="clear" w:color="auto" w:fill="F0F4F6"/>
          </w:tcPr>
          <w:p w14:paraId="5A4292BD" w14:textId="77777777" w:rsidR="0020595D" w:rsidRDefault="00000000">
            <w:pPr>
              <w:pStyle w:val="LectureTable"/>
              <w:keepNext/>
              <w:spacing w:after="0"/>
            </w:pPr>
            <w:r>
              <w:t>Уточнить специализацию и уровень опыта</w:t>
            </w:r>
          </w:p>
        </w:tc>
      </w:tr>
      <w:tr w:rsidR="0020595D" w14:paraId="5AA24935" w14:textId="77777777">
        <w:trPr>
          <w:cantSplit/>
          <w:jc w:val="center"/>
        </w:trPr>
        <w:tc>
          <w:tcPr>
            <w:tcW w:w="2272" w:type="dxa"/>
            <w:shd w:val="clear" w:color="auto" w:fill="FFFFFF"/>
          </w:tcPr>
          <w:p w14:paraId="07E23BB8" w14:textId="77777777" w:rsidR="0020595D" w:rsidRDefault="00000000">
            <w:pPr>
              <w:pStyle w:val="LectureTable"/>
              <w:keepNext/>
              <w:spacing w:after="0"/>
            </w:pPr>
            <w:r>
              <w:t>Портфолио</w:t>
            </w:r>
          </w:p>
        </w:tc>
        <w:tc>
          <w:tcPr>
            <w:tcW w:w="3030" w:type="dxa"/>
            <w:shd w:val="clear" w:color="auto" w:fill="FFFFFF"/>
          </w:tcPr>
          <w:p w14:paraId="0D19B34D" w14:textId="77777777" w:rsidR="0020595D" w:rsidRDefault="00000000">
            <w:pPr>
              <w:pStyle w:val="LectureTable"/>
              <w:keepNext/>
              <w:spacing w:after="0"/>
            </w:pPr>
            <w:r>
              <w:t>Видны ли вклад и статус работ?</w:t>
            </w:r>
          </w:p>
        </w:tc>
        <w:tc>
          <w:tcPr>
            <w:tcW w:w="4166" w:type="dxa"/>
            <w:shd w:val="clear" w:color="auto" w:fill="FFFFFF"/>
          </w:tcPr>
          <w:p w14:paraId="2E003FF4" w14:textId="77777777" w:rsidR="0020595D" w:rsidRDefault="00000000">
            <w:pPr>
              <w:pStyle w:val="LectureTable"/>
              <w:keepNext/>
              <w:spacing w:after="0"/>
            </w:pPr>
            <w:r>
              <w:t>Добавить пояснения к проектам</w:t>
            </w:r>
          </w:p>
        </w:tc>
      </w:tr>
      <w:tr w:rsidR="0020595D" w14:paraId="67121928" w14:textId="77777777">
        <w:trPr>
          <w:cantSplit/>
          <w:jc w:val="center"/>
        </w:trPr>
        <w:tc>
          <w:tcPr>
            <w:tcW w:w="2272" w:type="dxa"/>
            <w:shd w:val="clear" w:color="auto" w:fill="F0F4F6"/>
          </w:tcPr>
          <w:p w14:paraId="1EDF60BB" w14:textId="77777777" w:rsidR="0020595D" w:rsidRDefault="00000000">
            <w:pPr>
              <w:pStyle w:val="LectureTable"/>
              <w:keepNext/>
              <w:spacing w:after="0"/>
            </w:pPr>
            <w:r>
              <w:t>Контакт</w:t>
            </w:r>
          </w:p>
        </w:tc>
        <w:tc>
          <w:tcPr>
            <w:tcW w:w="3030" w:type="dxa"/>
            <w:shd w:val="clear" w:color="auto" w:fill="F0F4F6"/>
          </w:tcPr>
          <w:p w14:paraId="7A8E9DAD" w14:textId="77777777" w:rsidR="0020595D" w:rsidRDefault="00000000">
            <w:pPr>
              <w:pStyle w:val="LectureTable"/>
              <w:keepNext/>
              <w:spacing w:after="0"/>
            </w:pPr>
            <w:r>
              <w:t>Понятен ли способ обращения?</w:t>
            </w:r>
          </w:p>
        </w:tc>
        <w:tc>
          <w:tcPr>
            <w:tcW w:w="4166" w:type="dxa"/>
            <w:shd w:val="clear" w:color="auto" w:fill="F0F4F6"/>
          </w:tcPr>
          <w:p w14:paraId="4C43FB72" w14:textId="77777777" w:rsidR="0020595D" w:rsidRDefault="00000000">
            <w:pPr>
              <w:pStyle w:val="LectureTable"/>
              <w:keepNext/>
              <w:spacing w:after="0"/>
            </w:pPr>
            <w:r>
              <w:t>Обозначить канал и ожидания ответа</w:t>
            </w:r>
          </w:p>
        </w:tc>
      </w:tr>
      <w:tr w:rsidR="0020595D" w14:paraId="4E31F3AC" w14:textId="77777777">
        <w:trPr>
          <w:cantSplit/>
          <w:jc w:val="center"/>
        </w:trPr>
        <w:tc>
          <w:tcPr>
            <w:tcW w:w="2272" w:type="dxa"/>
            <w:shd w:val="clear" w:color="auto" w:fill="FFFFFF"/>
          </w:tcPr>
          <w:p w14:paraId="3C5BFE14" w14:textId="77777777" w:rsidR="0020595D" w:rsidRDefault="00000000">
            <w:pPr>
              <w:pStyle w:val="LectureTable"/>
              <w:spacing w:after="0"/>
            </w:pPr>
            <w:r>
              <w:t>Старые материалы</w:t>
            </w:r>
          </w:p>
        </w:tc>
        <w:tc>
          <w:tcPr>
            <w:tcW w:w="3030" w:type="dxa"/>
            <w:shd w:val="clear" w:color="auto" w:fill="FFFFFF"/>
          </w:tcPr>
          <w:p w14:paraId="302F2A58" w14:textId="77777777" w:rsidR="0020595D" w:rsidRDefault="00000000">
            <w:pPr>
              <w:pStyle w:val="LectureTable"/>
              <w:spacing w:after="0"/>
            </w:pPr>
            <w:r>
              <w:t>Сохраняются ли неточные сведения?</w:t>
            </w:r>
          </w:p>
        </w:tc>
        <w:tc>
          <w:tcPr>
            <w:tcW w:w="4166" w:type="dxa"/>
            <w:shd w:val="clear" w:color="auto" w:fill="FFFFFF"/>
          </w:tcPr>
          <w:p w14:paraId="1C784D16" w14:textId="77777777" w:rsidR="0020595D" w:rsidRDefault="00000000">
            <w:pPr>
              <w:pStyle w:val="LectureTable"/>
              <w:spacing w:after="0"/>
            </w:pPr>
            <w:r>
              <w:t>Обновить дату, роль или условия</w:t>
            </w:r>
          </w:p>
        </w:tc>
      </w:tr>
    </w:tbl>
    <w:p w14:paraId="6D5DED8A" w14:textId="77777777" w:rsidR="0020595D" w:rsidRDefault="0020595D">
      <w:pPr>
        <w:spacing w:after="0" w:line="120" w:lineRule="exact"/>
      </w:pPr>
    </w:p>
    <w:p w14:paraId="476EC217" w14:textId="77777777" w:rsidR="0020595D" w:rsidRDefault="00000000">
      <w:r>
        <w:t>Поисковая выдача — наблюдение в определенный момент и при определенных условиях, а не полный перечень сведений об объекте. Зафиксируйте запрос, дату и использованный способ просмотра. Не заявляйте, что отсутствие результата доказывает отсутствие информации вообще.</w:t>
      </w:r>
    </w:p>
    <w:p w14:paraId="7F18C90A" w14:textId="77777777" w:rsidR="0020595D" w:rsidRDefault="00000000">
      <w:r>
        <w:t>При изучении чужого объекта используйте только допустимые открытые материалы. Не пытайтесь обходить ограничения доступа и не собирайте личные сведения, не нужные для учебной задачи. В отчете достаточно обезличенного примера, если имя не влияет на анализ.</w:t>
      </w:r>
    </w:p>
    <w:p w14:paraId="74E578EB" w14:textId="77777777" w:rsidR="0020595D" w:rsidRDefault="00000000">
      <w:r>
        <w:t>Вывод аудита должен показывать конкретный разрыв: противоречие ролей, недоступное подтверждение, непонятное условие. Список субъективных впечатлений без материалов и критериев не заменяет диагностику.</w:t>
      </w:r>
    </w:p>
    <w:p w14:paraId="225CCBFB" w14:textId="77777777" w:rsidR="0020595D" w:rsidRDefault="00000000">
      <w:pPr>
        <w:pStyle w:val="1"/>
        <w:pageBreakBefore/>
        <w:spacing w:before="0"/>
      </w:pPr>
      <w:bookmarkStart w:id="2" w:name="Section_03"/>
      <w:bookmarkEnd w:id="2"/>
      <w:r>
        <w:lastRenderedPageBreak/>
        <w:t>Цифровой след и границы публичности</w:t>
      </w:r>
    </w:p>
    <w:p w14:paraId="5D0A125B" w14:textId="77777777" w:rsidR="0020595D" w:rsidRDefault="00000000">
      <w:r>
        <w:t>Цифровой след в рамках курса — совокупность доступных записей и действий, связанных с объектом. Часть создается намеренно, часть возникает при взаимодействии с другими участниками. Поэтому стратегия должна включать не только публикацию нового, но и проверку того, что уже представлено.</w:t>
      </w:r>
    </w:p>
    <w:p w14:paraId="666F1369" w14:textId="77777777" w:rsidR="0020595D" w:rsidRDefault="00000000">
      <w:r>
        <w:t>Разделение личного и профессионального пространства начинается с правил самого автора: какие темы обсуждаются публично, какие сведения сообщаются только при необходимости и какие материалы не передаются внешним сервисам. Отдельные аккаунты могут помогать организации, но не являются гарантией полной изоляции контекстов.</w:t>
      </w:r>
    </w:p>
    <w:p w14:paraId="4E4881A1" w14:textId="77777777" w:rsidR="0020595D" w:rsidRDefault="00000000">
      <w:pPr>
        <w:pStyle w:val="21"/>
      </w:pPr>
      <w:r>
        <w:t>Практическая карта границ</w:t>
      </w:r>
    </w:p>
    <w:p w14:paraId="4EA1D933" w14:textId="77777777" w:rsidR="0020595D" w:rsidRDefault="00000000">
      <w:r>
        <w:t>Укажите категории сведений: профессиональная роль, примеры работ, рабочий контакт, личные события, данные других людей. Для каждой определите цель использования, аудиторию и допустимый канал. Если цель отсутствует, публикация может быть избыточной.</w:t>
      </w:r>
    </w:p>
    <w:p w14:paraId="32165FF5" w14:textId="77777777" w:rsidR="0020595D" w:rsidRDefault="00000000">
      <w:r>
        <w:t>Перед размещением фотографий, отзывов и переписки других людей согласуйте использование. Для учебного анализа предпочтительны вымышленные или обезличенные данные. Удаление имени не всегда достаточно: сочетание должности, даты и обстоятельств может сохранять узнаваемость.</w:t>
      </w:r>
    </w:p>
    <w:p w14:paraId="1F6BF919" w14:textId="77777777" w:rsidR="0020595D" w:rsidRDefault="00000000">
      <w:r>
        <w:t>Проверьте, какие старые заявления требуют уточнения. Корректировка завершенной роли или недействующего предложения лучше сохранения устаревшего текста. При этом не следует обещать полное исчезновение уже распространенной информации: результат удаления зависит от условий хранения и копирования.</w:t>
      </w:r>
    </w:p>
    <w:p w14:paraId="0C3FE550" w14:textId="77777777" w:rsidR="0020595D" w:rsidRDefault="00000000">
      <w:r>
        <w:t>Важные профессиональные материалы полезно сохранять в собственном упорядоченном архиве. Это позволяет восстановить содержание, проверить версию и подготовить альтернативное представление при изменении платформы. Копия должна храниться с учетом конфиденциальности.</w:t>
      </w:r>
    </w:p>
    <w:p w14:paraId="0A4CEE81" w14:textId="77777777" w:rsidR="0020595D" w:rsidRDefault="00000000">
      <w:pPr>
        <w:pStyle w:val="LectureCallout"/>
        <w:keepLines/>
        <w:pBdr>
          <w:top w:val="single" w:sz="4" w:space="6" w:color="EFF5F6"/>
          <w:left w:val="single" w:sz="16" w:space="8" w:color="176B72"/>
          <w:bottom w:val="single" w:sz="4" w:space="6" w:color="EFF5F6"/>
        </w:pBdr>
        <w:shd w:val="clear" w:color="auto" w:fill="EFF5F6"/>
        <w:spacing w:before="160" w:after="240"/>
        <w:ind w:left="200" w:right="200"/>
      </w:pPr>
      <w:r>
        <w:t>Приватность — не препятствие профессиональному имиджу. Задача состоит в достаточности информации для обоснованного взаимодействия, а не в максимальном раскрытии жизни автора.</w:t>
      </w:r>
    </w:p>
    <w:p w14:paraId="4466866E" w14:textId="77777777" w:rsidR="0020595D" w:rsidRDefault="00000000">
      <w:pPr>
        <w:pStyle w:val="1"/>
        <w:pageBreakBefore/>
        <w:spacing w:before="0"/>
      </w:pPr>
      <w:bookmarkStart w:id="3" w:name="Section_04"/>
      <w:bookmarkEnd w:id="3"/>
      <w:r>
        <w:lastRenderedPageBreak/>
        <w:t>Контент: функция, доказательство и последовательность</w:t>
      </w:r>
    </w:p>
    <w:p w14:paraId="2C401350" w14:textId="77777777" w:rsidR="0020595D" w:rsidRDefault="00000000">
      <w:r>
        <w:t>Контент-план лучше строить от вопросов аудитории: какую задачу человек решает, какие сведения ему нужны и какое подтверждение поможет? Частота публикаций определяется ресурсами и содержанием. Ежедневное размещение материала не является самостоятельной профессиональной целью.</w:t>
      </w:r>
    </w:p>
    <w:p w14:paraId="3131A660" w14:textId="77777777" w:rsidR="0020595D" w:rsidRDefault="00000000">
      <w:r>
        <w:t>Для учебного проекта можно выделить четыре функции: объяснить роль, показать процесс работы, подтвердить опыт и ответить на типичный вопрос. Это авторская рабочая классификация, а не обязательная типология для всех отраслей. Один материал может выполнять несколько функций, если сохраняет ясную основную мысль.</w:t>
      </w:r>
    </w:p>
    <w:p w14:paraId="58C88132" w14:textId="77777777" w:rsidR="0020595D" w:rsidRDefault="00000000">
      <w:pPr>
        <w:pStyle w:val="21"/>
      </w:pPr>
      <w:r>
        <w:t>Карточка публикации</w:t>
      </w:r>
    </w:p>
    <w:p w14:paraId="1F115094" w14:textId="77777777" w:rsidR="0020595D" w:rsidRDefault="00000000">
      <w:r>
        <w:t>Укажите аудиторию, вопрос, тезис, основание, формат и ожидаемое действие. Например: «Для потенциального заказчика — чем учебный макет отличается от готового решения — пояснение этапов — фрагменты работы — короткий разбор — уточнение задачи перед обращением».</w:t>
      </w:r>
    </w:p>
    <w:p w14:paraId="764D0971" w14:textId="77777777" w:rsidR="0020595D" w:rsidRDefault="00000000">
      <w:r>
        <w:t>Доказательство должно соответствовать заявлению. Скриншот большого числа просмотров показывает распространение, но не подтверждает профессиональную компетентность. Комментарий одного участника отражает его оценку, а не мнение всех клиентов.</w:t>
      </w:r>
    </w:p>
    <w:p w14:paraId="04701F6D" w14:textId="77777777" w:rsidR="0020595D" w:rsidRDefault="00000000">
      <w:r>
        <w:t>Не превращайте любой профессиональный опыт в историю неизменного успеха. Разбор ошибки может быть содержательным, если не раскрывает чужих данных и объясняет исправление. Однако он не должен использоваться для публичного обвинения других участников проекта.</w:t>
      </w:r>
    </w:p>
    <w:p w14:paraId="5C725750" w14:textId="77777777" w:rsidR="0020595D" w:rsidRDefault="00000000">
      <w:r>
        <w:t>Понятность включает содержательные заголовки, ясные ссылки и текстовые пояснения значимых изображений. Эти приемы согласуются с рекомендациями W3C по доступному письму [4]. При этом общий стиль адаптируют к площадке, сохраняя точность фактов.</w:t>
      </w:r>
    </w:p>
    <w:p w14:paraId="298C732D" w14:textId="77777777" w:rsidR="0020595D" w:rsidRDefault="00000000">
      <w:r>
        <w:t>Перед выпуском проверяют дату, ссылки, числовые утверждения и возможные неоднозначности. Утвержденный календарь не обязывает публиковать материал с непроверенным содержанием только ради соблюдения графика.</w:t>
      </w:r>
    </w:p>
    <w:p w14:paraId="0C2B5A65" w14:textId="77777777" w:rsidR="0020595D" w:rsidRDefault="00000000">
      <w:pPr>
        <w:pStyle w:val="1"/>
        <w:pageBreakBefore/>
        <w:spacing w:before="0"/>
      </w:pPr>
      <w:bookmarkStart w:id="4" w:name="Section_05"/>
      <w:bookmarkEnd w:id="4"/>
      <w:r>
        <w:lastRenderedPageBreak/>
        <w:t>Обратная связь, отзывы и модерация</w:t>
      </w:r>
    </w:p>
    <w:p w14:paraId="76378E62" w14:textId="77777777" w:rsidR="0020595D" w:rsidRDefault="00000000">
      <w:r>
        <w:t>Комментарий может содержать вопрос, оценку, жалобу или фактическое уточнение. Первое действие — определить предмет и доступные данные. Не следует заранее считать любой негатив попыткой навредить, а любую похвалу — независимым подтверждением качества.</w:t>
      </w:r>
    </w:p>
    <w:p w14:paraId="4C5E408F" w14:textId="77777777" w:rsidR="0020595D" w:rsidRDefault="00000000">
      <w:r>
        <w:t>На конкретный вопрос отвечают по существу. Жалоба требует уточнения обстоятельств и доступного способа решения. Если для проверки нужны личные данные, обсуждение переводят в подходящий закрытый канал, не требуя публично размещать документы.</w:t>
      </w:r>
    </w:p>
    <w:p w14:paraId="56DF8AA2" w14:textId="77777777" w:rsidR="0020595D" w:rsidRDefault="00000000">
      <w:pPr>
        <w:pStyle w:val="21"/>
      </w:pPr>
      <w:r>
        <w:t>Правила взаимодействия</w:t>
      </w:r>
    </w:p>
    <w:p w14:paraId="58D65D24" w14:textId="77777777" w:rsidR="0020595D" w:rsidRDefault="00000000">
      <w:r>
        <w:t>Для учебного сообщества можно заранее описать допустимые темы, запрет раскрытия чужих данных и порядок работы с оскорблениями. Модерация должна опираться на правило и содержание сообщения, а не только на его положительный или отрицательный тон.</w:t>
      </w:r>
    </w:p>
    <w:p w14:paraId="32C00452" w14:textId="77777777" w:rsidR="0020595D" w:rsidRDefault="00000000">
      <w:r>
        <w:t>Удаление обоснованного замечания ради благоприятной картинки не исправляет проблему. Если сообщение содержит ошибку, подготовьте конкретное уточнение с подтверждением. Если ошибка допущена самим автором, обозначьте изменение так, чтобы читатель понимал актуальную версию.</w:t>
      </w:r>
    </w:p>
    <w:p w14:paraId="0B729A41" w14:textId="77777777" w:rsidR="0020595D" w:rsidRDefault="00000000">
      <w:r>
        <w:t>Фиктивные отзывы, сгенерированные клиенты и покупные реакции не должны использоваться как доказательства реального опыта. Даже при внешне правдоподобной форме они подменяют источник оценки. Для макета допустим явно обозначенный учебный текст, который не публикуется как настоящий отзыв.</w:t>
      </w:r>
    </w:p>
    <w:p w14:paraId="469468A2" w14:textId="77777777" w:rsidR="0020595D" w:rsidRDefault="00000000">
      <w:r>
        <w:t>Содержательная обратная связь может стать источником вопросов для следующего аудита. Повторяющаяся путаница в условиях услуги — основание проверить описание, но не доказательство масштаба проблемы без анализа числа и контекста обращений.</w:t>
      </w:r>
    </w:p>
    <w:p w14:paraId="467EF175" w14:textId="77777777" w:rsidR="0020595D" w:rsidRDefault="00000000">
      <w:pPr>
        <w:pStyle w:val="LectureCallout"/>
        <w:keepLines/>
        <w:pBdr>
          <w:top w:val="single" w:sz="4" w:space="6" w:color="EFF5F6"/>
          <w:left w:val="single" w:sz="16" w:space="8" w:color="176B72"/>
          <w:bottom w:val="single" w:sz="4" w:space="6" w:color="EFF5F6"/>
        </w:pBdr>
        <w:shd w:val="clear" w:color="auto" w:fill="EFF5F6"/>
        <w:spacing w:before="160" w:after="240"/>
        <w:ind w:left="200" w:right="200"/>
      </w:pPr>
      <w:r>
        <w:t>Задача ответа — прояснить ситуацию и обозначить действие. Победа в споре не является обязательным результатом профессиональной коммуникации.</w:t>
      </w:r>
    </w:p>
    <w:p w14:paraId="0F01F0D8" w14:textId="77777777" w:rsidR="0020595D" w:rsidRDefault="00000000">
      <w:pPr>
        <w:pStyle w:val="1"/>
        <w:pageBreakBefore/>
        <w:spacing w:before="0"/>
      </w:pPr>
      <w:bookmarkStart w:id="5" w:name="Section_06"/>
      <w:bookmarkEnd w:id="5"/>
      <w:r>
        <w:lastRenderedPageBreak/>
        <w:t>Генеративный ИИ: допустимые задачи и ограничения</w:t>
      </w:r>
    </w:p>
    <w:p w14:paraId="5881520E" w14:textId="77777777" w:rsidR="0020595D" w:rsidRDefault="00000000">
      <w:r>
        <w:t>В имиджевом проекте ИИ можно использовать для вариантов структуры, сокращения текста, поиска неясных формулировок и разработки предварительной визуальной концепции. Полученный материал рассматривается как черновик, требующий проверки человеком. Он не становится доказательством факта только потому, что изложен уверенно.</w:t>
      </w:r>
    </w:p>
    <w:p w14:paraId="7435B6C7" w14:textId="77777777" w:rsidR="0020595D" w:rsidRDefault="00000000">
      <w:r>
        <w:t>Руководство UNESCO по генеративному ИИ в образовании и исследованиях подчеркивает человекоцентричный подход и защиту данных [2]. Для нашего курса это означает сохранение ответственности автора за содержание и соблюдение установленных преподавателем правил использования инструментов.</w:t>
      </w:r>
    </w:p>
    <w:p w14:paraId="4BB1EC60" w14:textId="77777777" w:rsidR="0020595D" w:rsidRDefault="00000000">
      <w:pPr>
        <w:pStyle w:val="21"/>
      </w:pPr>
      <w:r>
        <w:t>Пример корректного задания инструменту</w:t>
      </w:r>
    </w:p>
    <w:p w14:paraId="03C5F0ED" w14:textId="77777777" w:rsidR="0020595D" w:rsidRDefault="00000000">
      <w:r>
        <w:t>«На основе приведенных фактов подготовь две версии биографии для стажировки. Не добавляй должности, награды, клиентов и числовые результаты. Неизвестные сведения обозначь вопросами. Сохрани указание, что проекты учебные». Такой запрос уменьшает неоднозначность, но не отменяет проверки ответа.</w:t>
      </w:r>
    </w:p>
    <w:p w14:paraId="5BB8639A" w14:textId="77777777" w:rsidR="0020595D" w:rsidRDefault="00000000">
      <w:r>
        <w:t>Проверяются все имена, даты, достижения, ссылки и причинные утверждения. Список литературы, предложенный инструментом, необходимо сверять с реальными публикациями. Убедительный стиль не заменяет существования источника и соответствия его содержания заявленному выводу.</w:t>
      </w:r>
    </w:p>
    <w:p w14:paraId="4BD1EAEE" w14:textId="77777777" w:rsidR="0020595D" w:rsidRDefault="00000000">
      <w:r>
        <w:t>Синтетическое изображение может иллюстрировать концепцию, если его статус понятен. Оно не должно изображать вымышленное участие в реальном событии как подтвержденный опыт. Аналогично нельзя создавать голосовой или визуальный образ другого человека для ложного представления его позиции.</w:t>
      </w:r>
    </w:p>
    <w:p w14:paraId="4F2E7A16" w14:textId="77777777" w:rsidR="0020595D" w:rsidRDefault="00000000">
      <w:r>
        <w:t>Не загружайте конфиденциальные сведения без разрешенного основания и проверки условий сервиса. В учебных заданиях достаточно обезличенных или вымышленных данных. Сам факт технической возможности загрузки не подтверждает допустимость использования материала.</w:t>
      </w:r>
    </w:p>
    <w:p w14:paraId="450E7EBA" w14:textId="77777777" w:rsidR="0020595D" w:rsidRDefault="00000000">
      <w:r>
        <w:t>Использование ИИ раскрывается в пояснении: задача, исходные сведения, полученный черновик, проверки и внесенные изменения. Это позволяет оценить самостоятельное решение автора.</w:t>
      </w:r>
    </w:p>
    <w:p w14:paraId="58206C27" w14:textId="77777777" w:rsidR="0020595D" w:rsidRDefault="00000000">
      <w:pPr>
        <w:pStyle w:val="1"/>
        <w:pageBreakBefore/>
        <w:spacing w:before="0"/>
      </w:pPr>
      <w:bookmarkStart w:id="6" w:name="Section_07"/>
      <w:bookmarkEnd w:id="6"/>
      <w:r>
        <w:lastRenderedPageBreak/>
        <w:t>Проверка и управление рисками ИИ</w:t>
      </w:r>
    </w:p>
    <w:p w14:paraId="6EE1F20D" w14:textId="77777777" w:rsidR="0020595D" w:rsidRDefault="00000000">
      <w:r>
        <w:t>Рамка NIST AI RMF предлагает рассматривать риски ИИ системно, а не ограничиваться качеством отдельного ответа [3]. Ниже используется собственный сокращенный учебный протокол; он не является сертификацией и не воспроизводит полную процедуру NIST.</w:t>
      </w:r>
    </w:p>
    <w:p w14:paraId="6D0FCD6A" w14:textId="77777777" w:rsidR="0020595D" w:rsidRDefault="00000000">
      <w:r>
        <w:t>Перед использованием определите назначение материала, возможный вред ошибки и того, кто принимает итоговое решение. Для внутреннего варианта заголовка и публичной биографии требования различаются: во втором случае недостоверность затрагивает профессиональную репутацию и ожидания аудитории.</w:t>
      </w:r>
    </w:p>
    <w:tbl>
      <w:tblPr>
        <w:tblW w:w="9468" w:type="dxa"/>
        <w:jc w:val="center"/>
        <w:tblBorders>
          <w:top w:val="single" w:sz="4" w:space="0" w:color="CDDAE0"/>
          <w:left w:val="nil"/>
          <w:bottom w:val="single" w:sz="4" w:space="0" w:color="CDDAE0"/>
          <w:right w:val="nil"/>
          <w:insideH w:val="single" w:sz="4" w:space="0" w:color="CDDAE0"/>
          <w:insideV w:val="nil"/>
        </w:tblBorders>
        <w:tblLayout w:type="fixed"/>
        <w:tblCellMar>
          <w:top w:w="88" w:type="dxa"/>
          <w:left w:w="115" w:type="dxa"/>
          <w:bottom w:w="88" w:type="dxa"/>
          <w:right w:w="115" w:type="dxa"/>
        </w:tblCellMar>
        <w:tblLook w:val="04A0" w:firstRow="1" w:lastRow="0" w:firstColumn="1" w:lastColumn="0" w:noHBand="0" w:noVBand="1"/>
      </w:tblPr>
      <w:tblGrid>
        <w:gridCol w:w="2272"/>
        <w:gridCol w:w="3030"/>
        <w:gridCol w:w="4166"/>
      </w:tblGrid>
      <w:tr w:rsidR="0020595D" w14:paraId="6A834BD8" w14:textId="77777777">
        <w:trPr>
          <w:cantSplit/>
          <w:tblHeader/>
          <w:jc w:val="center"/>
        </w:trPr>
        <w:tc>
          <w:tcPr>
            <w:tcW w:w="2272" w:type="dxa"/>
            <w:shd w:val="clear" w:color="auto" w:fill="19354A"/>
          </w:tcPr>
          <w:p w14:paraId="12483C8B" w14:textId="77777777" w:rsidR="0020595D" w:rsidRDefault="00000000">
            <w:pPr>
              <w:pStyle w:val="LectureTable"/>
              <w:keepNext/>
              <w:spacing w:after="0"/>
            </w:pPr>
            <w:r>
              <w:rPr>
                <w:b/>
                <w:color w:val="FFFFFF"/>
              </w:rPr>
              <w:t>Риск</w:t>
            </w:r>
          </w:p>
        </w:tc>
        <w:tc>
          <w:tcPr>
            <w:tcW w:w="3030" w:type="dxa"/>
            <w:shd w:val="clear" w:color="auto" w:fill="19354A"/>
          </w:tcPr>
          <w:p w14:paraId="78475CA9" w14:textId="77777777" w:rsidR="0020595D" w:rsidRDefault="00000000">
            <w:pPr>
              <w:pStyle w:val="LectureTable"/>
              <w:keepNext/>
              <w:spacing w:after="0"/>
            </w:pPr>
            <w:r>
              <w:rPr>
                <w:b/>
                <w:color w:val="FFFFFF"/>
              </w:rPr>
              <w:t>Проверка</w:t>
            </w:r>
          </w:p>
        </w:tc>
        <w:tc>
          <w:tcPr>
            <w:tcW w:w="4166" w:type="dxa"/>
            <w:shd w:val="clear" w:color="auto" w:fill="19354A"/>
          </w:tcPr>
          <w:p w14:paraId="64BABA20" w14:textId="77777777" w:rsidR="0020595D" w:rsidRDefault="00000000">
            <w:pPr>
              <w:pStyle w:val="LectureTable"/>
              <w:keepNext/>
              <w:spacing w:after="0"/>
            </w:pPr>
            <w:r>
              <w:rPr>
                <w:b/>
                <w:color w:val="FFFFFF"/>
              </w:rPr>
              <w:t>Решение перед публикацией</w:t>
            </w:r>
          </w:p>
        </w:tc>
      </w:tr>
      <w:tr w:rsidR="0020595D" w14:paraId="3E0A4C38" w14:textId="77777777">
        <w:trPr>
          <w:cantSplit/>
          <w:jc w:val="center"/>
        </w:trPr>
        <w:tc>
          <w:tcPr>
            <w:tcW w:w="2272" w:type="dxa"/>
            <w:shd w:val="clear" w:color="auto" w:fill="F0F4F6"/>
          </w:tcPr>
          <w:p w14:paraId="4A017EBA" w14:textId="77777777" w:rsidR="0020595D" w:rsidRDefault="00000000">
            <w:pPr>
              <w:pStyle w:val="LectureTable"/>
              <w:keepNext/>
              <w:spacing w:after="0"/>
            </w:pPr>
            <w:r>
              <w:t>Вымышленный факт</w:t>
            </w:r>
          </w:p>
        </w:tc>
        <w:tc>
          <w:tcPr>
            <w:tcW w:w="3030" w:type="dxa"/>
            <w:shd w:val="clear" w:color="auto" w:fill="F0F4F6"/>
          </w:tcPr>
          <w:p w14:paraId="36677692" w14:textId="77777777" w:rsidR="0020595D" w:rsidRDefault="00000000">
            <w:pPr>
              <w:pStyle w:val="LectureTable"/>
              <w:keepNext/>
              <w:spacing w:after="0"/>
            </w:pPr>
            <w:r>
              <w:t>Сверка с исходным документом</w:t>
            </w:r>
          </w:p>
        </w:tc>
        <w:tc>
          <w:tcPr>
            <w:tcW w:w="4166" w:type="dxa"/>
            <w:shd w:val="clear" w:color="auto" w:fill="F0F4F6"/>
          </w:tcPr>
          <w:p w14:paraId="3A3C8014" w14:textId="77777777" w:rsidR="0020595D" w:rsidRDefault="00000000">
            <w:pPr>
              <w:pStyle w:val="LectureTable"/>
              <w:keepNext/>
              <w:spacing w:after="0"/>
            </w:pPr>
            <w:r>
              <w:t>Удалить или подтвердить</w:t>
            </w:r>
          </w:p>
        </w:tc>
      </w:tr>
      <w:tr w:rsidR="0020595D" w14:paraId="35703746" w14:textId="77777777">
        <w:trPr>
          <w:cantSplit/>
          <w:jc w:val="center"/>
        </w:trPr>
        <w:tc>
          <w:tcPr>
            <w:tcW w:w="2272" w:type="dxa"/>
            <w:shd w:val="clear" w:color="auto" w:fill="FFFFFF"/>
          </w:tcPr>
          <w:p w14:paraId="2C1AC8BA" w14:textId="77777777" w:rsidR="0020595D" w:rsidRDefault="00000000">
            <w:pPr>
              <w:pStyle w:val="LectureTable"/>
              <w:keepNext/>
              <w:spacing w:after="0"/>
            </w:pPr>
            <w:r>
              <w:t>Чужие данные</w:t>
            </w:r>
          </w:p>
        </w:tc>
        <w:tc>
          <w:tcPr>
            <w:tcW w:w="3030" w:type="dxa"/>
            <w:shd w:val="clear" w:color="auto" w:fill="FFFFFF"/>
          </w:tcPr>
          <w:p w14:paraId="1A934CE2" w14:textId="77777777" w:rsidR="0020595D" w:rsidRDefault="00000000">
            <w:pPr>
              <w:pStyle w:val="LectureTable"/>
              <w:keepNext/>
              <w:spacing w:after="0"/>
            </w:pPr>
            <w:r>
              <w:t>Проверка разрешений и необходимости</w:t>
            </w:r>
          </w:p>
        </w:tc>
        <w:tc>
          <w:tcPr>
            <w:tcW w:w="4166" w:type="dxa"/>
            <w:shd w:val="clear" w:color="auto" w:fill="FFFFFF"/>
          </w:tcPr>
          <w:p w14:paraId="1FF92E41" w14:textId="77777777" w:rsidR="0020595D" w:rsidRDefault="00000000">
            <w:pPr>
              <w:pStyle w:val="LectureTable"/>
              <w:keepNext/>
              <w:spacing w:after="0"/>
            </w:pPr>
            <w:r>
              <w:t>Обезличить либо исключить</w:t>
            </w:r>
          </w:p>
        </w:tc>
      </w:tr>
      <w:tr w:rsidR="0020595D" w14:paraId="0EB4312E" w14:textId="77777777">
        <w:trPr>
          <w:cantSplit/>
          <w:jc w:val="center"/>
        </w:trPr>
        <w:tc>
          <w:tcPr>
            <w:tcW w:w="2272" w:type="dxa"/>
            <w:shd w:val="clear" w:color="auto" w:fill="F0F4F6"/>
          </w:tcPr>
          <w:p w14:paraId="2D055318" w14:textId="77777777" w:rsidR="0020595D" w:rsidRDefault="00000000">
            <w:pPr>
              <w:pStyle w:val="LectureTable"/>
              <w:keepNext/>
              <w:spacing w:after="0"/>
            </w:pPr>
            <w:r>
              <w:t>Стереотипная формулировка</w:t>
            </w:r>
          </w:p>
        </w:tc>
        <w:tc>
          <w:tcPr>
            <w:tcW w:w="3030" w:type="dxa"/>
            <w:shd w:val="clear" w:color="auto" w:fill="F0F4F6"/>
          </w:tcPr>
          <w:p w14:paraId="40519151" w14:textId="77777777" w:rsidR="0020595D" w:rsidRDefault="00000000">
            <w:pPr>
              <w:pStyle w:val="LectureTable"/>
              <w:keepNext/>
              <w:spacing w:after="0"/>
            </w:pPr>
            <w:r>
              <w:t>Анализ связи признака с задачей</w:t>
            </w:r>
          </w:p>
        </w:tc>
        <w:tc>
          <w:tcPr>
            <w:tcW w:w="4166" w:type="dxa"/>
            <w:shd w:val="clear" w:color="auto" w:fill="F0F4F6"/>
          </w:tcPr>
          <w:p w14:paraId="1440A2DA" w14:textId="77777777" w:rsidR="0020595D" w:rsidRDefault="00000000">
            <w:pPr>
              <w:pStyle w:val="LectureTable"/>
              <w:keepNext/>
              <w:spacing w:after="0"/>
            </w:pPr>
            <w:r>
              <w:t>Переписать без необоснованного ярлыка</w:t>
            </w:r>
          </w:p>
        </w:tc>
      </w:tr>
      <w:tr w:rsidR="0020595D" w14:paraId="18EFA639" w14:textId="77777777">
        <w:trPr>
          <w:cantSplit/>
          <w:jc w:val="center"/>
        </w:trPr>
        <w:tc>
          <w:tcPr>
            <w:tcW w:w="2272" w:type="dxa"/>
            <w:shd w:val="clear" w:color="auto" w:fill="FFFFFF"/>
          </w:tcPr>
          <w:p w14:paraId="31CF7D17" w14:textId="77777777" w:rsidR="0020595D" w:rsidRDefault="00000000">
            <w:pPr>
              <w:pStyle w:val="LectureTable"/>
              <w:spacing w:after="0"/>
            </w:pPr>
            <w:r>
              <w:t>Ложное впечатление подлинности</w:t>
            </w:r>
          </w:p>
        </w:tc>
        <w:tc>
          <w:tcPr>
            <w:tcW w:w="3030" w:type="dxa"/>
            <w:shd w:val="clear" w:color="auto" w:fill="FFFFFF"/>
          </w:tcPr>
          <w:p w14:paraId="7FFEAADA" w14:textId="77777777" w:rsidR="0020595D" w:rsidRDefault="00000000">
            <w:pPr>
              <w:pStyle w:val="LectureTable"/>
              <w:spacing w:after="0"/>
            </w:pPr>
            <w:r>
              <w:t>Проверка подписи и контекста</w:t>
            </w:r>
          </w:p>
        </w:tc>
        <w:tc>
          <w:tcPr>
            <w:tcW w:w="4166" w:type="dxa"/>
            <w:shd w:val="clear" w:color="auto" w:fill="FFFFFF"/>
          </w:tcPr>
          <w:p w14:paraId="67ED62AE" w14:textId="77777777" w:rsidR="0020595D" w:rsidRDefault="00000000">
            <w:pPr>
              <w:pStyle w:val="LectureTable"/>
              <w:spacing w:after="0"/>
            </w:pPr>
            <w:r>
              <w:t>Явно обозначить синтетический пример</w:t>
            </w:r>
          </w:p>
        </w:tc>
      </w:tr>
    </w:tbl>
    <w:p w14:paraId="3CC89998" w14:textId="77777777" w:rsidR="0020595D" w:rsidRDefault="0020595D">
      <w:pPr>
        <w:spacing w:after="0" w:line="120" w:lineRule="exact"/>
      </w:pPr>
    </w:p>
    <w:p w14:paraId="76B94198" w14:textId="77777777" w:rsidR="0020595D" w:rsidRDefault="00000000">
      <w:r>
        <w:t>Назначьте ответственного за проверку. Фраза «так написал инструмент» не объясняет, почему материал был принят. Для значимого утверждения в журнале указывают источник, проверившего участника и статус: подтверждено, исправлено, исключено или требует уточнения.</w:t>
      </w:r>
    </w:p>
    <w:p w14:paraId="3C165B35" w14:textId="77777777" w:rsidR="0020595D" w:rsidRDefault="00000000">
      <w:r>
        <w:t>Критерий остановки нужен заранее. Материал не публикуется, если не подтверждены существенное достижение, согласие на использование данных или происхождение цитаты. Недостающую проверку нельзя компенсировать более убедительным оформлением.</w:t>
      </w:r>
    </w:p>
    <w:p w14:paraId="40B5C4D0" w14:textId="77777777" w:rsidR="0020595D" w:rsidRDefault="00000000">
      <w:r>
        <w:t>После публикации сохраняйте возможность исправления и актуальную версию. Если обнаружена ошибка, оцените, какие связанные материалы также требуют изменения. Исправление одного профиля не гарантирует согласованности всего цифрового представления.</w:t>
      </w:r>
    </w:p>
    <w:p w14:paraId="184C411F" w14:textId="77777777" w:rsidR="0020595D" w:rsidRDefault="00000000">
      <w:r>
        <w:t>Протокол помогает сделать использование ИИ управляемым: сначала задача и ограничения, затем черновик, проверка и только после этого решение о применении.</w:t>
      </w:r>
    </w:p>
    <w:p w14:paraId="406B08C5" w14:textId="77777777" w:rsidR="0020595D" w:rsidRDefault="00000000">
      <w:pPr>
        <w:pStyle w:val="1"/>
        <w:pageBreakBefore/>
        <w:spacing w:before="0"/>
      </w:pPr>
      <w:bookmarkStart w:id="7" w:name="Section_08"/>
      <w:bookmarkEnd w:id="7"/>
      <w:r>
        <w:lastRenderedPageBreak/>
        <w:t>Учебный кейс: биография, которой нельзя доверять</w:t>
      </w:r>
    </w:p>
    <w:p w14:paraId="653C447B" w14:textId="77777777" w:rsidR="0020595D" w:rsidRDefault="00000000">
      <w:r>
        <w:t>Кейс вымышленный. Анна просит ИИ сделать ее профиль «более экспертным». Исходный текст содержит два учебных проекта. В ответе появляются пять лет опыта, международные клиенты и вымышленная награда. Дополнительно создается изображение выступления на конференции, в которой Анна не участвовала.</w:t>
      </w:r>
    </w:p>
    <w:p w14:paraId="541C177F" w14:textId="77777777" w:rsidR="0020595D" w:rsidRDefault="00000000">
      <w:pPr>
        <w:pStyle w:val="21"/>
      </w:pPr>
      <w:r>
        <w:t>Разбор ошибки</w:t>
      </w:r>
    </w:p>
    <w:p w14:paraId="54BE43CB" w14:textId="77777777" w:rsidR="0020595D" w:rsidRDefault="00000000">
      <w:r>
        <w:t>Проблема не только в том, что инструмент добавил сведения. Публикация превратила бы вымысел в заявление от имени автора. Изображение создало бы отдельное ложное доказательство публичного опыта. Обозначение «обработано ИИ» не сделало бы недостоверную биографию истинной.</w:t>
      </w:r>
    </w:p>
    <w:p w14:paraId="223BA8BA" w14:textId="77777777" w:rsidR="0020595D" w:rsidRDefault="00000000">
      <w:r>
        <w:t>Корректное действие — удалить неподтвержденные сведения, восстановить учебный статус проектов и описать реальный вклад. Изображение можно использовать только как явно вымышленный концепт в подходящем контексте, но не как фотографию состоявшегося выступления.</w:t>
      </w:r>
    </w:p>
    <w:p w14:paraId="65C4A336" w14:textId="77777777" w:rsidR="0020595D" w:rsidRDefault="00000000">
      <w:pPr>
        <w:pStyle w:val="21"/>
      </w:pPr>
      <w:r>
        <w:t>Исправленный процесс</w:t>
      </w:r>
    </w:p>
    <w:p w14:paraId="43B63EEF" w14:textId="77777777" w:rsidR="0020595D" w:rsidRDefault="00000000">
      <w:r>
        <w:t>Анна составляет реестр фактов: образование, проекты, роли и доступные материалы. Затем задает инструменту ограничение не добавлять новых достижений. После генерации каждое утверждение сопоставляется с реестром. Неясные фразы возвращаются на уточнение.</w:t>
      </w:r>
    </w:p>
    <w:p w14:paraId="41993B61" w14:textId="77777777" w:rsidR="0020595D" w:rsidRDefault="00000000">
      <w:r>
        <w:t>Итоговая биография: «Студентка, развивающаяся в области коммуникационных исследований. В двух учебных проектах отвечала за интервью и подготовку аналитических таблиц. Ищет стажировку для развития исследовательских навыков». Формулировка менее громкая, но проверяема.</w:t>
      </w:r>
    </w:p>
    <w:p w14:paraId="2E87C8F0" w14:textId="77777777" w:rsidR="0020595D" w:rsidRDefault="00000000">
      <w:r>
        <w:t>Результат кейса — не запрет на ИИ, а различение редактирования и фабрикации. Полезность инструмента оценивается по тому, помогает ли он ясно представить исходные сведения, а не по количеству добавленных признаков успеха.</w:t>
      </w:r>
    </w:p>
    <w:p w14:paraId="2A346AB8" w14:textId="77777777" w:rsidR="0020595D" w:rsidRDefault="00000000">
      <w:r>
        <w:t>Обсудите, какие проверки выявили бы ошибку до публикации и почему одно общее предупреждение об использовании ИИ не заменяет точности каждого утверждения.</w:t>
      </w:r>
    </w:p>
    <w:p w14:paraId="37EECBEB" w14:textId="77777777" w:rsidR="0020595D" w:rsidRDefault="00000000">
      <w:pPr>
        <w:pStyle w:val="1"/>
        <w:pageBreakBefore/>
        <w:spacing w:before="0"/>
      </w:pPr>
      <w:bookmarkStart w:id="8" w:name="Section_09"/>
      <w:bookmarkEnd w:id="8"/>
      <w:r>
        <w:lastRenderedPageBreak/>
        <w:t>Самостоятельная работа: профиль и редакционный протокол</w:t>
      </w:r>
    </w:p>
    <w:p w14:paraId="5F11BD40" w14:textId="77777777" w:rsidR="0020595D" w:rsidRDefault="00000000">
      <w:r>
        <w:t>Подготовьте макет профессионального профиля выбранного объекта: роль, краткое описание, подтверждения опыта, условия обращения и границы публичности. Реальная регистрация в социальной сети не требуется. Для вымышленного объекта приложите перечень исходных фактов.</w:t>
      </w:r>
    </w:p>
    <w:p w14:paraId="46963A02" w14:textId="77777777" w:rsidR="0020595D" w:rsidRDefault="00000000">
      <w:r>
        <w:t>Создайте план четырех публикаций с разными функциями: объяснение роли, разбор процесса, подтверждение опыта и ответ на вопрос. Для каждой укажите аудиторию, тезис, доказательство, формат и критерий проверки понимания. Полностью напишите два материала.</w:t>
      </w:r>
    </w:p>
    <w:p w14:paraId="0C3C3EF0" w14:textId="77777777" w:rsidR="0020595D" w:rsidRDefault="00000000">
      <w:pPr>
        <w:pStyle w:val="21"/>
      </w:pPr>
      <w:r>
        <w:t>Журнал качества</w:t>
      </w:r>
    </w:p>
    <w:p w14:paraId="7E47395A" w14:textId="77777777" w:rsidR="0020595D" w:rsidRDefault="00000000">
      <w:r>
        <w:t>Проверьте не менее пяти существенных утверждений. Зафиксируйте текст утверждения, источник, статус и необходимую правку. Если ИИ использовался, добавьте пример задания инструменту и объясните, что было принято, изменено и отклонено. Отказ от ИИ не снижает оценку.</w:t>
      </w:r>
    </w:p>
    <w:p w14:paraId="0D702C6E" w14:textId="77777777" w:rsidR="0020595D" w:rsidRDefault="00000000">
      <w:r>
        <w:t>Составьте два ответа: на содержательную критику и на запрос, требующий персональных данных. Покажите, как сохраняются точность, уважение и конфиденциальность. Не имитируйте отзывы реальных клиентов.</w:t>
      </w:r>
    </w:p>
    <w:p w14:paraId="23653FD2" w14:textId="77777777" w:rsidR="0020595D" w:rsidRDefault="00000000">
      <w:r>
        <w:t>Оценивание: согласованность профиля — 2 балла; связь контента с задачей аудитории — 2; проверка доказательств — 3; работа с обратной связью — 1; приватность и прозрачность ИИ — 2. Максимум — 10 баллов.</w:t>
      </w:r>
    </w:p>
    <w:p w14:paraId="7E4E162E" w14:textId="77777777" w:rsidR="0020595D" w:rsidRDefault="00000000">
      <w:r>
        <w:t>В заключении объемом 400–600 слов объясните одну обнаруженную неоднозначность и способ ее устранения. Отдельно укажите, какие результаты пока не проверялись: рост доверия, изменение репутации или фактические обращения нельзя заявлять по одному макету.</w:t>
      </w:r>
    </w:p>
    <w:p w14:paraId="14B5DA13" w14:textId="77777777" w:rsidR="0020595D" w:rsidRDefault="00000000">
      <w:pPr>
        <w:pStyle w:val="1"/>
        <w:pageBreakBefore/>
        <w:spacing w:before="0"/>
      </w:pPr>
      <w:bookmarkStart w:id="9" w:name="Section_10"/>
      <w:bookmarkEnd w:id="9"/>
      <w:r>
        <w:lastRenderedPageBreak/>
        <w:t>Самопроверка и источники</w:t>
      </w:r>
    </w:p>
    <w:p w14:paraId="1F7BCC04" w14:textId="77777777" w:rsidR="0020595D" w:rsidRDefault="00000000">
      <w:pPr>
        <w:pStyle w:val="21"/>
      </w:pPr>
      <w:r>
        <w:t>Вопросы</w:t>
      </w:r>
    </w:p>
    <w:p w14:paraId="6B4E895F" w14:textId="77777777" w:rsidR="0020595D" w:rsidRDefault="00000000">
      <w:r>
        <w:t>1. Чем цифровой аудит отличается от оценки красоты профиля? 2. Доказывает ли отсутствие поискового результата отсутствие сведений? 3. Может ли ИИ создавать реальные достижения? 4. Что фиксируют в журнале проверки? 5. Почему вымышленный отзыв нельзя считать доказательством?</w:t>
      </w:r>
    </w:p>
    <w:p w14:paraId="3EF8EC23" w14:textId="77777777" w:rsidR="0020595D" w:rsidRDefault="00000000">
      <w:pPr>
        <w:pStyle w:val="21"/>
      </w:pPr>
      <w:r>
        <w:t>Ответы-ориентиры</w:t>
      </w:r>
    </w:p>
    <w:p w14:paraId="6E87C078" w14:textId="77777777" w:rsidR="0020595D" w:rsidRDefault="00000000">
      <w:r>
        <w:t>Аудит проверяет конкретные задачи по материалам и критериям. Поиск ограничен условиями наблюдения. ИИ может помочь описать опыт, но не создать состоявшийся факт. Журнал связывает утверждение, источник, проверку и решение. Вымышленный отзыв не отражает реальный опыт независимого участника.</w:t>
      </w:r>
    </w:p>
    <w:p w14:paraId="68EFBFEA" w14:textId="77777777" w:rsidR="0020595D" w:rsidRDefault="00000000">
      <w:pPr>
        <w:pStyle w:val="21"/>
      </w:pPr>
      <w:r>
        <w:t>Итог и термины</w:t>
      </w:r>
    </w:p>
    <w:p w14:paraId="50A26BD1" w14:textId="77777777" w:rsidR="0020595D" w:rsidRDefault="00000000">
      <w:r>
        <w:t>Цифровой след — связанные с объектом цифровые записи; контент-план — связь публикаций с задачами; модерация — применение правил взаимодействия; синтетический материал — созданный или существенно преобразованный инструментом контент; верификация — проверка утверждения по подтверждениям.</w:t>
      </w:r>
    </w:p>
    <w:p w14:paraId="020F1BC7" w14:textId="77777777" w:rsidR="0020595D" w:rsidRDefault="00000000">
      <w:r>
        <w:t>Цифровой имидж требует согласованности и контроля качества. ИИ расширяет способы подготовки материалов, но не отменяет ответственности за факты и чужие данные.</w:t>
      </w:r>
    </w:p>
    <w:p w14:paraId="18A95585" w14:textId="77777777" w:rsidR="0020595D" w:rsidRPr="00692606" w:rsidRDefault="00000000">
      <w:pPr>
        <w:pStyle w:val="21"/>
        <w:rPr>
          <w:lang w:val="en-US"/>
        </w:rPr>
      </w:pPr>
      <w:r>
        <w:t>Источники</w:t>
      </w:r>
      <w:r w:rsidRPr="00692606">
        <w:rPr>
          <w:lang w:val="en-US"/>
        </w:rPr>
        <w:t xml:space="preserve"> </w:t>
      </w:r>
      <w:r>
        <w:t>и</w:t>
      </w:r>
      <w:r w:rsidRPr="00692606">
        <w:rPr>
          <w:lang w:val="en-US"/>
        </w:rPr>
        <w:t xml:space="preserve"> </w:t>
      </w:r>
      <w:r>
        <w:t>дальнейшее</w:t>
      </w:r>
      <w:r w:rsidRPr="00692606">
        <w:rPr>
          <w:lang w:val="en-US"/>
        </w:rPr>
        <w:t xml:space="preserve"> </w:t>
      </w:r>
      <w:r>
        <w:t>чтение</w:t>
      </w:r>
    </w:p>
    <w:p w14:paraId="334299F3" w14:textId="77777777" w:rsidR="0020595D" w:rsidRPr="00692606" w:rsidRDefault="00000000">
      <w:pPr>
        <w:pStyle w:val="LectureReference"/>
        <w:rPr>
          <w:lang w:val="en-US"/>
        </w:rPr>
      </w:pPr>
      <w:r w:rsidRPr="00692606">
        <w:rPr>
          <w:lang w:val="en-US"/>
        </w:rPr>
        <w:t xml:space="preserve">[1] Labrecque L. I., Markos E., Milne G. R. Online Personal Branding: Processes, Challenges, and Implications. Journal of Interactive Marketing. 2011. Vol. 25(1). P. 37–50. </w:t>
      </w:r>
      <w:hyperlink r:id="rId8" w:history="1">
        <w:r>
          <w:rPr>
            <w:color w:val="176B72"/>
            <w:u w:val="single"/>
          </w:rPr>
          <w:t>Перейти</w:t>
        </w:r>
        <w:r w:rsidRPr="00692606">
          <w:rPr>
            <w:color w:val="176B72"/>
            <w:u w:val="single"/>
            <w:lang w:val="en-US"/>
          </w:rPr>
          <w:t xml:space="preserve"> </w:t>
        </w:r>
        <w:r>
          <w:rPr>
            <w:color w:val="176B72"/>
            <w:u w:val="single"/>
          </w:rPr>
          <w:t>к</w:t>
        </w:r>
        <w:r w:rsidRPr="00692606">
          <w:rPr>
            <w:color w:val="176B72"/>
            <w:u w:val="single"/>
            <w:lang w:val="en-US"/>
          </w:rPr>
          <w:t xml:space="preserve"> </w:t>
        </w:r>
        <w:r>
          <w:rPr>
            <w:color w:val="176B72"/>
            <w:u w:val="single"/>
          </w:rPr>
          <w:t>источнику</w:t>
        </w:r>
      </w:hyperlink>
      <w:r w:rsidRPr="00692606">
        <w:rPr>
          <w:lang w:val="en-US"/>
        </w:rPr>
        <w:t>.</w:t>
      </w:r>
    </w:p>
    <w:p w14:paraId="1D18C676" w14:textId="77777777" w:rsidR="0020595D" w:rsidRDefault="00000000">
      <w:pPr>
        <w:pStyle w:val="LectureReference"/>
      </w:pPr>
      <w:r w:rsidRPr="00692606">
        <w:rPr>
          <w:lang w:val="en-US"/>
        </w:rPr>
        <w:t xml:space="preserve">[2] UNESCO. Guidance for Generative AI in Education and Research. </w:t>
      </w:r>
      <w:r>
        <w:t xml:space="preserve">2023. </w:t>
      </w:r>
      <w:hyperlink r:id="rId9" w:history="1">
        <w:r>
          <w:rPr>
            <w:color w:val="176B72"/>
            <w:u w:val="single"/>
          </w:rPr>
          <w:t>Перейти к источнику</w:t>
        </w:r>
      </w:hyperlink>
      <w:r>
        <w:t>.</w:t>
      </w:r>
    </w:p>
    <w:p w14:paraId="5A8265C5" w14:textId="77777777" w:rsidR="0020595D" w:rsidRPr="00692606" w:rsidRDefault="00000000">
      <w:pPr>
        <w:pStyle w:val="LectureReference"/>
        <w:rPr>
          <w:lang w:val="en-US"/>
        </w:rPr>
      </w:pPr>
      <w:r>
        <w:t xml:space="preserve">[3] NIST. AI Risk Management Framework. Рамка управления рисками искусственного интеллекта. </w:t>
      </w:r>
      <w:hyperlink r:id="rId10" w:history="1">
        <w:r>
          <w:rPr>
            <w:color w:val="176B72"/>
            <w:u w:val="single"/>
          </w:rPr>
          <w:t>Перейти</w:t>
        </w:r>
      </w:hyperlink>
      <w:r w:rsidRPr="00692606">
        <w:rPr>
          <w:lang w:val="en-US"/>
        </w:rPr>
        <w:t xml:space="preserve"> </w:t>
      </w:r>
      <w:hyperlink r:id="rId11" w:history="1">
        <w:r>
          <w:rPr>
            <w:color w:val="176B72"/>
            <w:u w:val="single"/>
          </w:rPr>
          <w:t>к</w:t>
        </w:r>
        <w:r w:rsidRPr="00692606">
          <w:rPr>
            <w:color w:val="176B72"/>
            <w:u w:val="single"/>
            <w:lang w:val="en-US"/>
          </w:rPr>
          <w:t xml:space="preserve"> </w:t>
        </w:r>
        <w:r>
          <w:rPr>
            <w:color w:val="176B72"/>
            <w:u w:val="single"/>
          </w:rPr>
          <w:t>источнику</w:t>
        </w:r>
      </w:hyperlink>
      <w:r w:rsidRPr="00692606">
        <w:rPr>
          <w:lang w:val="en-US"/>
        </w:rPr>
        <w:t>.</w:t>
      </w:r>
    </w:p>
    <w:p w14:paraId="57872CA7" w14:textId="77777777" w:rsidR="0020595D" w:rsidRDefault="00000000">
      <w:pPr>
        <w:pStyle w:val="LectureReference"/>
      </w:pPr>
      <w:r w:rsidRPr="00692606">
        <w:rPr>
          <w:lang w:val="en-US"/>
        </w:rPr>
        <w:t xml:space="preserve">[4] W3C Web Accessibility Initiative. Writing for Web Accessibility. </w:t>
      </w:r>
      <w:hyperlink r:id="rId12" w:history="1">
        <w:r>
          <w:rPr>
            <w:color w:val="176B72"/>
            <w:u w:val="single"/>
          </w:rPr>
          <w:t>Перейти к источнику</w:t>
        </w:r>
      </w:hyperlink>
      <w:r>
        <w:t>.</w:t>
      </w:r>
    </w:p>
    <w:p w14:paraId="77C8E6B2" w14:textId="77777777" w:rsidR="0020595D" w:rsidRDefault="00000000">
      <w:pPr>
        <w:pStyle w:val="LectureReference"/>
      </w:pPr>
      <w:r>
        <w:t>Электронные ресурсы проверялись при подготовке комплекта 27.09.2026. Академические публикации приведены для дальнейшего чтения; доступ к полному тексту может быть ограничен. Кейсы, шаблоны и задания разработаны для этого курса.</w:t>
      </w:r>
    </w:p>
    <w:sectPr w:rsidR="0020595D" w:rsidSect="00034616">
      <w:headerReference w:type="default" r:id="rId13"/>
      <w:footerReference w:type="default" r:id="rId14"/>
      <w:pgSz w:w="11906" w:h="16838"/>
      <w:pgMar w:top="1219" w:right="1219" w:bottom="1134" w:left="1219" w:header="482"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D463" w14:textId="77777777" w:rsidR="004355C5" w:rsidRDefault="004355C5">
      <w:pPr>
        <w:spacing w:after="0" w:line="240" w:lineRule="auto"/>
      </w:pPr>
      <w:r>
        <w:separator/>
      </w:r>
    </w:p>
  </w:endnote>
  <w:endnote w:type="continuationSeparator" w:id="0">
    <w:p w14:paraId="62C831B4" w14:textId="77777777" w:rsidR="004355C5" w:rsidRDefault="004355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0461E" w14:textId="6D016E94" w:rsidR="0020595D" w:rsidRDefault="00000000">
    <w:pPr>
      <w:pStyle w:val="a7"/>
      <w:pBdr>
        <w:top w:val="single" w:sz="4" w:space="7" w:color="CDDAE0"/>
      </w:pBdr>
      <w:tabs>
        <w:tab w:val="right" w:pos="9468"/>
      </w:tabs>
      <w:spacing w:before="80"/>
    </w:pPr>
    <w:r>
      <w:tab/>
    </w:r>
    <w:r>
      <w:rPr>
        <w:sz w:val="17"/>
      </w:rPr>
      <w:fldChar w:fldCharType="begin"/>
    </w:r>
    <w:r>
      <w:rPr>
        <w:sz w:val="17"/>
      </w:rPr>
      <w:instrText xml:space="preserve"> PAGE </w:instrText>
    </w:r>
    <w:r>
      <w:rPr>
        <w:sz w:val="17"/>
      </w:rPr>
      <w:fldChar w:fldCharType="separate"/>
    </w:r>
    <w:r>
      <w:rPr>
        <w:sz w:val="17"/>
      </w:rPr>
      <w:t>1</w:t>
    </w:r>
    <w:r>
      <w:rPr>
        <w:sz w:val="17"/>
      </w:rPr>
      <w:fldChar w:fldCharType="end"/>
    </w:r>
    <w:r>
      <w:rPr>
        <w:sz w:val="17"/>
      </w:rPr>
      <w:t xml:space="preserve"> / </w:t>
    </w:r>
    <w:r>
      <w:rPr>
        <w:sz w:val="17"/>
      </w:rPr>
      <w:fldChar w:fldCharType="begin"/>
    </w:r>
    <w:r>
      <w:rPr>
        <w:sz w:val="17"/>
      </w:rPr>
      <w:instrText xml:space="preserve"> NUMPAGES </w:instrText>
    </w:r>
    <w:r>
      <w:rPr>
        <w:sz w:val="17"/>
      </w:rPr>
      <w:fldChar w:fldCharType="separate"/>
    </w:r>
    <w:r>
      <w:rPr>
        <w:sz w:val="17"/>
      </w:rPr>
      <w:t>10</w:t>
    </w:r>
    <w:r>
      <w:rPr>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B0F2A" w14:textId="77777777" w:rsidR="004355C5" w:rsidRDefault="004355C5">
      <w:pPr>
        <w:spacing w:after="0" w:line="240" w:lineRule="auto"/>
      </w:pPr>
      <w:r>
        <w:separator/>
      </w:r>
    </w:p>
  </w:footnote>
  <w:footnote w:type="continuationSeparator" w:id="0">
    <w:p w14:paraId="2A378DAB" w14:textId="77777777" w:rsidR="004355C5" w:rsidRDefault="004355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5E383" w14:textId="3466F63E" w:rsidR="0020595D" w:rsidRDefault="00000000">
    <w:pPr>
      <w:pStyle w:val="a5"/>
      <w:pBdr>
        <w:bottom w:val="single" w:sz="4" w:space="7" w:color="CDDAE0"/>
      </w:pBdr>
      <w:tabs>
        <w:tab w:val="right" w:pos="9468"/>
      </w:tabs>
      <w:spacing w:after="120"/>
    </w:pPr>
    <w:proofErr w:type="gramStart"/>
    <w:r>
      <w:rPr>
        <w:b/>
        <w:color w:val="176B72"/>
      </w:rPr>
      <w:t>ИМИДЖМЕЙКЕРСТВО  /</w:t>
    </w:r>
    <w:proofErr w:type="gramEnd"/>
    <w:r>
      <w:rPr>
        <w:b/>
        <w:color w:val="176B72"/>
      </w:rPr>
      <w:t xml:space="preserve">  ЛЕКЦИЯ 12</w:t>
    </w:r>
    <w:r>
      <w:rPr>
        <w:sz w:val="15"/>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421725557">
    <w:abstractNumId w:val="8"/>
  </w:num>
  <w:num w:numId="2" w16cid:durableId="143468920">
    <w:abstractNumId w:val="6"/>
  </w:num>
  <w:num w:numId="3" w16cid:durableId="1483278102">
    <w:abstractNumId w:val="5"/>
  </w:num>
  <w:num w:numId="4" w16cid:durableId="1573078990">
    <w:abstractNumId w:val="4"/>
  </w:num>
  <w:num w:numId="5" w16cid:durableId="1003816840">
    <w:abstractNumId w:val="7"/>
  </w:num>
  <w:num w:numId="6" w16cid:durableId="629242588">
    <w:abstractNumId w:val="3"/>
  </w:num>
  <w:num w:numId="7" w16cid:durableId="1817338585">
    <w:abstractNumId w:val="2"/>
  </w:num>
  <w:num w:numId="8" w16cid:durableId="393236694">
    <w:abstractNumId w:val="1"/>
  </w:num>
  <w:num w:numId="9" w16cid:durableId="1622036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oNotHyphenateCap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15074B"/>
    <w:rsid w:val="0020595D"/>
    <w:rsid w:val="0029639D"/>
    <w:rsid w:val="00326F90"/>
    <w:rsid w:val="004355C5"/>
    <w:rsid w:val="00692606"/>
    <w:rsid w:val="00AA1D8D"/>
    <w:rsid w:val="00B47730"/>
    <w:rsid w:val="00CB0664"/>
    <w:rsid w:val="00D03F7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C587CD"/>
  <w14:defaultImageDpi w14:val="300"/>
  <w15:docId w15:val="{9B0EBE87-B719-4AA1-9E7B-1F77101B7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60" w:line="278" w:lineRule="auto"/>
    </w:pPr>
    <w:rPr>
      <w:rFonts w:ascii="Times New Roman" w:eastAsia="Times New Roman" w:hAnsi="Times New Roman" w:cs="Times New Roman"/>
      <w:color w:val="202830"/>
      <w:sz w:val="26"/>
      <w:lang w:val="ru-RU" w:eastAsia="ru-RU"/>
    </w:rPr>
  </w:style>
  <w:style w:type="paragraph" w:styleId="1">
    <w:name w:val="heading 1"/>
    <w:basedOn w:val="a1"/>
    <w:next w:val="a1"/>
    <w:link w:val="10"/>
    <w:uiPriority w:val="9"/>
    <w:qFormat/>
    <w:rsid w:val="00FC693F"/>
    <w:pPr>
      <w:keepNext/>
      <w:keepLines/>
      <w:spacing w:before="40" w:after="240" w:line="254" w:lineRule="auto"/>
      <w:outlineLvl w:val="0"/>
    </w:pPr>
    <w:rPr>
      <w:rFonts w:ascii="Arial" w:eastAsia="Arial" w:hAnsi="Arial" w:cs="Arial"/>
      <w:b/>
      <w:bCs/>
      <w:color w:val="19354A"/>
      <w:sz w:val="34"/>
      <w:szCs w:val="28"/>
    </w:rPr>
  </w:style>
  <w:style w:type="paragraph" w:styleId="21">
    <w:name w:val="heading 2"/>
    <w:basedOn w:val="a1"/>
    <w:next w:val="a1"/>
    <w:link w:val="22"/>
    <w:uiPriority w:val="9"/>
    <w:unhideWhenUsed/>
    <w:qFormat/>
    <w:rsid w:val="00FC693F"/>
    <w:pPr>
      <w:keepNext/>
      <w:keepLines/>
      <w:spacing w:before="180" w:after="120" w:line="254" w:lineRule="auto"/>
      <w:outlineLvl w:val="1"/>
    </w:pPr>
    <w:rPr>
      <w:rFonts w:ascii="Arial" w:eastAsia="Arial" w:hAnsi="Arial" w:cs="Arial"/>
      <w:b/>
      <w:bCs/>
      <w:color w:val="19354A"/>
      <w:sz w:val="24"/>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spacing w:after="0" w:line="240" w:lineRule="auto"/>
    </w:pPr>
    <w:rPr>
      <w:rFonts w:ascii="Arial" w:eastAsia="Arial" w:hAnsi="Arial" w:cs="Arial"/>
      <w:color w:val="53616A"/>
      <w:sz w:val="16"/>
    </w:r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spacing w:after="0" w:line="240" w:lineRule="auto"/>
    </w:pPr>
    <w:rPr>
      <w:rFonts w:ascii="Arial" w:eastAsia="Arial" w:hAnsi="Arial" w:cs="Arial"/>
      <w:color w:val="53616A"/>
      <w:sz w:val="16"/>
    </w:r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spacing w:before="40" w:after="260" w:line="250" w:lineRule="auto"/>
      <w:contextualSpacing/>
    </w:pPr>
    <w:rPr>
      <w:rFonts w:ascii="Arial" w:eastAsia="Arial" w:hAnsi="Arial" w:cs="Arial"/>
      <w:b/>
      <w:color w:val="19354A"/>
      <w:kern w:val="28"/>
      <w:sz w:val="4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keepNext/>
      <w:spacing w:after="240" w:line="259" w:lineRule="auto"/>
    </w:pPr>
    <w:rPr>
      <w:rFonts w:ascii="Arial" w:eastAsia="Arial" w:hAnsi="Arial" w:cs="Arial"/>
      <w:b/>
      <w:iCs/>
      <w:color w:val="176B72"/>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ctureReference">
    <w:name w:val="Lecture Reference"/>
    <w:pPr>
      <w:spacing w:after="100" w:line="269" w:lineRule="auto"/>
    </w:pPr>
    <w:rPr>
      <w:rFonts w:ascii="Arial" w:eastAsia="Arial" w:hAnsi="Arial" w:cs="Arial"/>
      <w:color w:val="53616A"/>
      <w:sz w:val="18"/>
      <w:lang w:val="ru-RU" w:eastAsia="ru-RU"/>
    </w:rPr>
  </w:style>
  <w:style w:type="paragraph" w:customStyle="1" w:styleId="LectureCallout">
    <w:name w:val="Lecture Callout"/>
    <w:pPr>
      <w:spacing w:after="100" w:line="269" w:lineRule="auto"/>
    </w:pPr>
    <w:rPr>
      <w:rFonts w:ascii="Arial" w:eastAsia="Arial" w:hAnsi="Arial" w:cs="Arial"/>
      <w:color w:val="19354A"/>
      <w:lang w:val="ru-RU" w:eastAsia="ru-RU"/>
    </w:rPr>
  </w:style>
  <w:style w:type="paragraph" w:customStyle="1" w:styleId="LectureTable">
    <w:name w:val="Lecture Table"/>
    <w:pPr>
      <w:spacing w:after="100" w:line="269" w:lineRule="auto"/>
    </w:pPr>
    <w:rPr>
      <w:rFonts w:ascii="Arial" w:eastAsia="Arial" w:hAnsi="Arial" w:cs="Arial"/>
      <w:color w:val="19354A"/>
      <w:sz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intmar.2010.09.002"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w3.org/WAI/tips/writin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ist.gov/itl/ai-risk-management-framewor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nist.gov/itl/ai-risk-management-framework" TargetMode="External"/><Relationship Id="rId4" Type="http://schemas.openxmlformats.org/officeDocument/2006/relationships/settings" Target="settings.xml"/><Relationship Id="rId9" Type="http://schemas.openxmlformats.org/officeDocument/2006/relationships/hyperlink" Target="https://www.unesco.org/en/articles/guidance-generative-ai-education-and-research"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2707</Words>
  <Characters>15436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18107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Цифровой имидж и ответственное использование ИИ</dc:title>
  <dc:subject>Имиджмейкерство. Лекция 12. Дистанционный курс для бакалавриата.</dc:subject>
  <dc:creator/>
  <cp:keywords>имиджмейкерство, лекция, бакалавриат, дистанционное обучение</cp:keywords>
  <dc:description/>
  <cp:lastModifiedBy>Mikhail Sizov</cp:lastModifiedBy>
  <cp:revision>3</cp:revision>
  <dcterms:created xsi:type="dcterms:W3CDTF">2013-12-23T23:15:00Z</dcterms:created>
  <dcterms:modified xsi:type="dcterms:W3CDTF">2026-09-27T19:56:00Z</dcterms:modified>
  <cp:category/>
</cp:coreProperties>
</file>