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4576D" w14:textId="77777777" w:rsidR="00AF1C8D" w:rsidRDefault="00000000">
      <w:pPr>
        <w:pStyle w:val="aa"/>
        <w:spacing w:before="0"/>
      </w:pPr>
      <w:bookmarkStart w:id="0" w:name="Section_01"/>
      <w:bookmarkEnd w:id="0"/>
      <w:r>
        <w:t>Профессиональный имидж и личный бренд</w:t>
      </w:r>
    </w:p>
    <w:p w14:paraId="490ADFB7" w14:textId="77777777" w:rsidR="00AF1C8D" w:rsidRDefault="00000000">
      <w:pPr>
        <w:pStyle w:val="ac"/>
      </w:pPr>
      <w:r>
        <w:t>Профессиональная видимость без вымышленных достижений</w:t>
      </w:r>
    </w:p>
    <w:p w14:paraId="413557A2" w14:textId="77777777" w:rsidR="00AF1C8D" w:rsidRDefault="00000000">
      <w:r>
        <w:t>Профессиональный имидж связан с тем, как аудитория понимает роль, возможности и стиль работы специалиста. Личный бренд в этой лекции рассматривается как последовательная работа с профессиональным позиционированием и его подтверждением. Это не синоним популярности, количества подписчиков или обязанности постоянно рассказывать о себе.</w:t>
      </w:r>
    </w:p>
    <w:p w14:paraId="366FA7C3" w14:textId="77777777" w:rsidR="00AF1C8D" w:rsidRDefault="00000000">
      <w:r>
        <w:t>Междисциплинарный обзор С. Горбатова и соавторов показывает разнообразие исследовательских подходов к персональному брендингу [1]. Для практики курса важно не смешивать намерение автора сформировать образ и фактически выявленное восприятие: первое не гарантирует второго.</w:t>
      </w:r>
    </w:p>
    <w:p w14:paraId="7483A95F" w14:textId="77777777" w:rsidR="00AF1C8D" w:rsidRDefault="00000000">
      <w:pPr>
        <w:pStyle w:val="21"/>
      </w:pPr>
      <w:r>
        <w:t>Результаты изучения темы</w:t>
      </w:r>
    </w:p>
    <w:p w14:paraId="7A0590ED" w14:textId="77777777" w:rsidR="00AF1C8D" w:rsidRDefault="00000000">
      <w:r>
        <w:t>Студент научится формулировать реалистичное профессиональное предложение; отбирать доказательства компетенций; создавать портфолио и резюме без преувеличения роли; выстраивать деловые контакты; выбирать допустимую степень публичности и планировать обновление профессиональных материалов.</w:t>
      </w:r>
    </w:p>
    <w:p w14:paraId="4295D832" w14:textId="77777777" w:rsidR="00AF1C8D" w:rsidRDefault="00000000">
      <w:r>
        <w:t>Начинающий специалист может опираться на учебные, волонтерские и личные проекты, если их статус раскрыт. Отсутствие длительного оплачиваемого опыта не следует маскировать вымышленными должностями. Учебная работа способна показать ход решения задачи, но не должна выдаваться за результат коммерческого внедрения.</w:t>
      </w:r>
    </w:p>
    <w:p w14:paraId="0993D900" w14:textId="77777777" w:rsidR="00AF1C8D" w:rsidRDefault="00000000">
      <w:pPr>
        <w:pStyle w:val="LectureCallout"/>
        <w:keepLines/>
        <w:pBdr>
          <w:top w:val="single" w:sz="4" w:space="6" w:color="EFF5F6"/>
          <w:left w:val="single" w:sz="16" w:space="8" w:color="176B72"/>
          <w:bottom w:val="single" w:sz="4" w:space="6" w:color="EFF5F6"/>
        </w:pBdr>
        <w:shd w:val="clear" w:color="auto" w:fill="EFF5F6"/>
        <w:spacing w:before="160" w:after="240"/>
        <w:ind w:left="200" w:right="200"/>
      </w:pPr>
      <w:r>
        <w:t>Цель профессионального представления — сделать реальные возможности понятными подходящей аудитории. Оно не заменяет развитие компетенций и не гарантирует карьерный результат.</w:t>
      </w:r>
    </w:p>
    <w:p w14:paraId="07F87885" w14:textId="77777777" w:rsidR="00AF1C8D" w:rsidRDefault="00000000">
      <w:r>
        <w:t>Итог недели — согласованный комплект профессиональных материалов: позиционирование, резюме, два кейса и план развития контактов. Допускается работа с учебным персонажем вместо анализа собственной карьеры.</w:t>
      </w:r>
    </w:p>
    <w:p w14:paraId="62343D89" w14:textId="77777777" w:rsidR="00AF1C8D" w:rsidRDefault="00000000">
      <w:pPr>
        <w:pStyle w:val="1"/>
        <w:pageBreakBefore/>
        <w:spacing w:before="0"/>
      </w:pPr>
      <w:bookmarkStart w:id="1" w:name="Section_02"/>
      <w:bookmarkEnd w:id="1"/>
      <w:r>
        <w:lastRenderedPageBreak/>
        <w:t>Позиционирование: роль, задача и уровень ответственности</w:t>
      </w:r>
    </w:p>
    <w:p w14:paraId="0929ABF5" w14:textId="77777777" w:rsidR="00AF1C8D" w:rsidRDefault="00000000">
      <w:r>
        <w:t>Профессиональное позиционирование начинается не с яркого титула, а с ответа на вопросы: какие задачи человек умеет решать, для кого и на каком уровне самостоятельности? Формулировка «специалист по всему цифровому» почти не помогает оценить соответствие конкретному запросу.</w:t>
      </w:r>
    </w:p>
    <w:p w14:paraId="1EB67ACC" w14:textId="77777777" w:rsidR="00AF1C8D" w:rsidRDefault="00000000">
      <w:r>
        <w:t>Рабочий шаблон: «Я выполняю такую-то функцию для такой-то аудитории, используя такие-то подтвержденные навыки; мой текущий опыт включает…». Шаблон не нужно превращать в одинаковый текст для всех площадок: он помогает проверить содержательную полноту.</w:t>
      </w:r>
    </w:p>
    <w:p w14:paraId="59919EB4" w14:textId="77777777" w:rsidR="00AF1C8D" w:rsidRDefault="00000000">
      <w:pPr>
        <w:pStyle w:val="21"/>
      </w:pPr>
      <w:r>
        <w:t>Текущее и желаемое</w:t>
      </w:r>
    </w:p>
    <w:p w14:paraId="42823AE1" w14:textId="77777777" w:rsidR="00AF1C8D" w:rsidRDefault="00000000">
      <w:r>
        <w:t>Разделяйте имеющуюся квалификацию и направление развития. «Изучаю исследования аудитории и ищу стажировку» точнее, чем неподтвержденное «эксперт по потребительскому поведению». Карьерная цель может быть амбициозной, но должна быть обозначена как цель.</w:t>
      </w:r>
    </w:p>
    <w:tbl>
      <w:tblPr>
        <w:tblW w:w="9468" w:type="dxa"/>
        <w:jc w:val="center"/>
        <w:tblBorders>
          <w:top w:val="single" w:sz="4" w:space="0" w:color="CDDAE0"/>
          <w:left w:val="nil"/>
          <w:bottom w:val="single" w:sz="4" w:space="0" w:color="CDDAE0"/>
          <w:right w:val="nil"/>
          <w:insideH w:val="single" w:sz="4" w:space="0" w:color="CDDAE0"/>
          <w:insideV w:val="nil"/>
        </w:tblBorders>
        <w:tblLayout w:type="fixed"/>
        <w:tblCellMar>
          <w:top w:w="88" w:type="dxa"/>
          <w:left w:w="115" w:type="dxa"/>
          <w:bottom w:w="88" w:type="dxa"/>
          <w:right w:w="115" w:type="dxa"/>
        </w:tblCellMar>
        <w:tblLook w:val="04A0" w:firstRow="1" w:lastRow="0" w:firstColumn="1" w:lastColumn="0" w:noHBand="0" w:noVBand="1"/>
      </w:tblPr>
      <w:tblGrid>
        <w:gridCol w:w="2272"/>
        <w:gridCol w:w="3030"/>
        <w:gridCol w:w="4166"/>
      </w:tblGrid>
      <w:tr w:rsidR="00AF1C8D" w14:paraId="305E46FC" w14:textId="77777777">
        <w:trPr>
          <w:cantSplit/>
          <w:tblHeader/>
          <w:jc w:val="center"/>
        </w:trPr>
        <w:tc>
          <w:tcPr>
            <w:tcW w:w="2272" w:type="dxa"/>
            <w:shd w:val="clear" w:color="auto" w:fill="19354A"/>
          </w:tcPr>
          <w:p w14:paraId="19199B43" w14:textId="77777777" w:rsidR="00AF1C8D" w:rsidRDefault="00000000">
            <w:pPr>
              <w:pStyle w:val="LectureTable"/>
              <w:keepNext/>
              <w:spacing w:after="0"/>
            </w:pPr>
            <w:r>
              <w:rPr>
                <w:b/>
                <w:color w:val="FFFFFF"/>
              </w:rPr>
              <w:t>Элемент</w:t>
            </w:r>
          </w:p>
        </w:tc>
        <w:tc>
          <w:tcPr>
            <w:tcW w:w="3030" w:type="dxa"/>
            <w:shd w:val="clear" w:color="auto" w:fill="19354A"/>
          </w:tcPr>
          <w:p w14:paraId="066624CC" w14:textId="77777777" w:rsidR="00AF1C8D" w:rsidRDefault="00000000">
            <w:pPr>
              <w:pStyle w:val="LectureTable"/>
              <w:keepNext/>
              <w:spacing w:after="0"/>
            </w:pPr>
            <w:r>
              <w:rPr>
                <w:b/>
                <w:color w:val="FFFFFF"/>
              </w:rPr>
              <w:t>Слабая формулировка</w:t>
            </w:r>
          </w:p>
        </w:tc>
        <w:tc>
          <w:tcPr>
            <w:tcW w:w="4166" w:type="dxa"/>
            <w:shd w:val="clear" w:color="auto" w:fill="19354A"/>
          </w:tcPr>
          <w:p w14:paraId="179E5637" w14:textId="77777777" w:rsidR="00AF1C8D" w:rsidRDefault="00000000">
            <w:pPr>
              <w:pStyle w:val="LectureTable"/>
              <w:keepNext/>
              <w:spacing w:after="0"/>
            </w:pPr>
            <w:r>
              <w:rPr>
                <w:b/>
                <w:color w:val="FFFFFF"/>
              </w:rPr>
              <w:t>Более проверяемая версия</w:t>
            </w:r>
          </w:p>
        </w:tc>
      </w:tr>
      <w:tr w:rsidR="00AF1C8D" w14:paraId="44B94A15" w14:textId="77777777">
        <w:trPr>
          <w:cantSplit/>
          <w:jc w:val="center"/>
        </w:trPr>
        <w:tc>
          <w:tcPr>
            <w:tcW w:w="2272" w:type="dxa"/>
            <w:shd w:val="clear" w:color="auto" w:fill="F0F4F6"/>
          </w:tcPr>
          <w:p w14:paraId="2BD60492" w14:textId="77777777" w:rsidR="00AF1C8D" w:rsidRDefault="00000000">
            <w:pPr>
              <w:pStyle w:val="LectureTable"/>
              <w:keepNext/>
              <w:spacing w:after="0"/>
            </w:pPr>
            <w:r>
              <w:t>Роль</w:t>
            </w:r>
          </w:p>
        </w:tc>
        <w:tc>
          <w:tcPr>
            <w:tcW w:w="3030" w:type="dxa"/>
            <w:shd w:val="clear" w:color="auto" w:fill="F0F4F6"/>
          </w:tcPr>
          <w:p w14:paraId="4C7A1268" w14:textId="77777777" w:rsidR="00AF1C8D" w:rsidRDefault="00000000">
            <w:pPr>
              <w:pStyle w:val="LectureTable"/>
              <w:keepNext/>
              <w:spacing w:after="0"/>
            </w:pPr>
            <w:r>
              <w:t>Лидер нового поколения</w:t>
            </w:r>
          </w:p>
        </w:tc>
        <w:tc>
          <w:tcPr>
            <w:tcW w:w="4166" w:type="dxa"/>
            <w:shd w:val="clear" w:color="auto" w:fill="F0F4F6"/>
          </w:tcPr>
          <w:p w14:paraId="0220F08F" w14:textId="77777777" w:rsidR="00AF1C8D" w:rsidRDefault="00000000">
            <w:pPr>
              <w:pStyle w:val="LectureTable"/>
              <w:keepNext/>
              <w:spacing w:after="0"/>
            </w:pPr>
            <w:r>
              <w:t>Координатор двух учебных проектов</w:t>
            </w:r>
          </w:p>
        </w:tc>
      </w:tr>
      <w:tr w:rsidR="00AF1C8D" w14:paraId="1C612DF6" w14:textId="77777777">
        <w:trPr>
          <w:cantSplit/>
          <w:jc w:val="center"/>
        </w:trPr>
        <w:tc>
          <w:tcPr>
            <w:tcW w:w="2272" w:type="dxa"/>
            <w:shd w:val="clear" w:color="auto" w:fill="FFFFFF"/>
          </w:tcPr>
          <w:p w14:paraId="135BE0F3" w14:textId="77777777" w:rsidR="00AF1C8D" w:rsidRDefault="00000000">
            <w:pPr>
              <w:pStyle w:val="LectureTable"/>
              <w:keepNext/>
              <w:spacing w:after="0"/>
            </w:pPr>
            <w:r>
              <w:t>Навык</w:t>
            </w:r>
          </w:p>
        </w:tc>
        <w:tc>
          <w:tcPr>
            <w:tcW w:w="3030" w:type="dxa"/>
            <w:shd w:val="clear" w:color="auto" w:fill="FFFFFF"/>
          </w:tcPr>
          <w:p w14:paraId="46D1822C" w14:textId="77777777" w:rsidR="00AF1C8D" w:rsidRDefault="00000000">
            <w:pPr>
              <w:pStyle w:val="LectureTable"/>
              <w:keepNext/>
              <w:spacing w:after="0"/>
            </w:pPr>
            <w:r>
              <w:t>Отлично понимаю людей</w:t>
            </w:r>
          </w:p>
        </w:tc>
        <w:tc>
          <w:tcPr>
            <w:tcW w:w="4166" w:type="dxa"/>
            <w:shd w:val="clear" w:color="auto" w:fill="FFFFFF"/>
          </w:tcPr>
          <w:p w14:paraId="6E7BBF27" w14:textId="77777777" w:rsidR="00AF1C8D" w:rsidRDefault="00000000">
            <w:pPr>
              <w:pStyle w:val="LectureTable"/>
              <w:keepNext/>
              <w:spacing w:after="0"/>
            </w:pPr>
            <w:r>
              <w:t>Провел и систематизировал учебные интервью</w:t>
            </w:r>
          </w:p>
        </w:tc>
      </w:tr>
      <w:tr w:rsidR="00AF1C8D" w14:paraId="4B826948" w14:textId="77777777">
        <w:trPr>
          <w:cantSplit/>
          <w:jc w:val="center"/>
        </w:trPr>
        <w:tc>
          <w:tcPr>
            <w:tcW w:w="2272" w:type="dxa"/>
            <w:shd w:val="clear" w:color="auto" w:fill="F0F4F6"/>
          </w:tcPr>
          <w:p w14:paraId="572CF455" w14:textId="77777777" w:rsidR="00AF1C8D" w:rsidRDefault="00000000">
            <w:pPr>
              <w:pStyle w:val="LectureTable"/>
              <w:keepNext/>
              <w:spacing w:after="0"/>
            </w:pPr>
            <w:r>
              <w:t>Результат</w:t>
            </w:r>
          </w:p>
        </w:tc>
        <w:tc>
          <w:tcPr>
            <w:tcW w:w="3030" w:type="dxa"/>
            <w:shd w:val="clear" w:color="auto" w:fill="F0F4F6"/>
          </w:tcPr>
          <w:p w14:paraId="72A64308" w14:textId="77777777" w:rsidR="00AF1C8D" w:rsidRDefault="00000000">
            <w:pPr>
              <w:pStyle w:val="LectureTable"/>
              <w:keepNext/>
              <w:spacing w:after="0"/>
            </w:pPr>
            <w:r>
              <w:t>Всегда повышаю эффективность</w:t>
            </w:r>
          </w:p>
        </w:tc>
        <w:tc>
          <w:tcPr>
            <w:tcW w:w="4166" w:type="dxa"/>
            <w:shd w:val="clear" w:color="auto" w:fill="F0F4F6"/>
          </w:tcPr>
          <w:p w14:paraId="6F668828" w14:textId="77777777" w:rsidR="00AF1C8D" w:rsidRDefault="00000000">
            <w:pPr>
              <w:pStyle w:val="LectureTable"/>
              <w:keepNext/>
              <w:spacing w:after="0"/>
            </w:pPr>
            <w:r>
              <w:t>Сократил число пропусков в конкретном реестре</w:t>
            </w:r>
          </w:p>
        </w:tc>
      </w:tr>
      <w:tr w:rsidR="00AF1C8D" w14:paraId="7748BCEE" w14:textId="77777777">
        <w:trPr>
          <w:cantSplit/>
          <w:jc w:val="center"/>
        </w:trPr>
        <w:tc>
          <w:tcPr>
            <w:tcW w:w="2272" w:type="dxa"/>
            <w:shd w:val="clear" w:color="auto" w:fill="FFFFFF"/>
          </w:tcPr>
          <w:p w14:paraId="650DC7A5" w14:textId="77777777" w:rsidR="00AF1C8D" w:rsidRDefault="00000000">
            <w:pPr>
              <w:pStyle w:val="LectureTable"/>
              <w:spacing w:after="0"/>
            </w:pPr>
            <w:r>
              <w:t>Развитие</w:t>
            </w:r>
          </w:p>
        </w:tc>
        <w:tc>
          <w:tcPr>
            <w:tcW w:w="3030" w:type="dxa"/>
            <w:shd w:val="clear" w:color="auto" w:fill="FFFFFF"/>
          </w:tcPr>
          <w:p w14:paraId="5CB0F2A3" w14:textId="77777777" w:rsidR="00AF1C8D" w:rsidRDefault="00000000">
            <w:pPr>
              <w:pStyle w:val="LectureTable"/>
              <w:spacing w:after="0"/>
            </w:pPr>
            <w:r>
              <w:t>Уже готов к любой задаче</w:t>
            </w:r>
          </w:p>
        </w:tc>
        <w:tc>
          <w:tcPr>
            <w:tcW w:w="4166" w:type="dxa"/>
            <w:shd w:val="clear" w:color="auto" w:fill="FFFFFF"/>
          </w:tcPr>
          <w:p w14:paraId="0B592E0F" w14:textId="77777777" w:rsidR="00AF1C8D" w:rsidRDefault="00000000">
            <w:pPr>
              <w:pStyle w:val="LectureTable"/>
              <w:spacing w:after="0"/>
            </w:pPr>
            <w:r>
              <w:t>Осваиваю анализ данных под руководством</w:t>
            </w:r>
          </w:p>
        </w:tc>
      </w:tr>
    </w:tbl>
    <w:p w14:paraId="3C84DB3D" w14:textId="77777777" w:rsidR="00AF1C8D" w:rsidRDefault="00AF1C8D">
      <w:pPr>
        <w:spacing w:after="0" w:line="120" w:lineRule="exact"/>
      </w:pPr>
    </w:p>
    <w:p w14:paraId="4FDB98D6" w14:textId="77777777" w:rsidR="00AF1C8D" w:rsidRDefault="00000000">
      <w:r>
        <w:t>Проверяйте соответствие позиционирования профессиональной ситуации. Для стажировки акцент может быть на способности учиться и качестве выполненных заданий; для самостоятельной услуги — на границах ответственности и проверенных результатах. Один набор эпитетов не подходит для всех ролей.</w:t>
      </w:r>
    </w:p>
    <w:p w14:paraId="3683363D" w14:textId="77777777" w:rsidR="00AF1C8D" w:rsidRDefault="00000000">
      <w:r>
        <w:t>Позиционирование уточняется по мере накопления опыта. Менять его допустимо, но переход следует объяснять: какие новые задачи освоены и какие подтверждения появились. Последовательность не означает пожизненно сохранять первую выбранную специализацию.</w:t>
      </w:r>
    </w:p>
    <w:p w14:paraId="62C49C99" w14:textId="77777777" w:rsidR="00AF1C8D" w:rsidRDefault="00000000">
      <w:pPr>
        <w:pStyle w:val="1"/>
        <w:pageBreakBefore/>
        <w:spacing w:before="0"/>
      </w:pPr>
      <w:bookmarkStart w:id="2" w:name="Section_03"/>
      <w:bookmarkEnd w:id="2"/>
      <w:r>
        <w:lastRenderedPageBreak/>
        <w:t>Компетенции и доказательства готовности</w:t>
      </w:r>
    </w:p>
    <w:p w14:paraId="2BB87CA4" w14:textId="77777777" w:rsidR="00AF1C8D" w:rsidRDefault="00000000">
      <w:r>
        <w:t>Компетенция в учебном анализе — способность выполнять определенный класс задач, а не только знакомство с терминологией. Для ее представления нужны примеры действий и результаты, соответствующие заявленному уровню. Сертификат участия подтверждает прохождение мероприятия, но не автоматически самостоятельное владение всеми затронутыми навыками.</w:t>
      </w:r>
    </w:p>
    <w:p w14:paraId="5F9257FF" w14:textId="77777777" w:rsidR="00AF1C8D" w:rsidRDefault="00000000">
      <w:r>
        <w:t>Рамка карьерной готовности NACE связывает профессиональное развитие с наблюдаемыми действиями, включая коммуникацию, командную работу и обучение [3]. В нашем задании эта логика используется как ориентир, а не как проведение стандартизированной оценки NACE.</w:t>
      </w:r>
    </w:p>
    <w:p w14:paraId="0C46C93A" w14:textId="77777777" w:rsidR="00AF1C8D" w:rsidRDefault="00000000">
      <w:pPr>
        <w:pStyle w:val="21"/>
      </w:pPr>
      <w:r>
        <w:t>Матрица «навык — подтверждение — ограничение»</w:t>
      </w:r>
    </w:p>
    <w:p w14:paraId="12A265A7" w14:textId="77777777" w:rsidR="00AF1C8D" w:rsidRDefault="00000000">
      <w:r>
        <w:t>Для каждого значимого навыка укажите задачу, собственные действия, материал для проверки и границу вывода. Например: «Систематизация интервью — разработал таблицу кодирования для учебного проекта — приложен обезличенный фрагмент — работа не проходила независимую научную валидацию».</w:t>
      </w:r>
    </w:p>
    <w:p w14:paraId="7B227841" w14:textId="77777777" w:rsidR="00AF1C8D" w:rsidRDefault="00000000">
      <w:r>
        <w:t>Доказательства различаются по назначению. Файл показывает продукт; описание процесса — ход решения; обратная связь — оценку конкретного наблюдателя. Не следует считать любой положительный комментарий доказательством объективно высокой компетентности во всех условиях.</w:t>
      </w:r>
    </w:p>
    <w:p w14:paraId="746C457A" w14:textId="77777777" w:rsidR="00AF1C8D" w:rsidRDefault="00000000">
      <w:r>
        <w:t>Отделяйте владение инструментом от результата деятельности. Умение оформить таблицу не равно умению спроектировать исследование. Участие в команде не доказывает руководство всем проектом. Точная формулировка роли позволяет избежать завышенных ожиданий.</w:t>
      </w:r>
    </w:p>
    <w:p w14:paraId="78B260DD" w14:textId="77777777" w:rsidR="00AF1C8D" w:rsidRDefault="00000000">
      <w:r>
        <w:t>Недостаток подтверждений становится задачей развития. Можно выполнить небольшой проект, получить содержательную обратную связь и доработать результат. Важно заранее определить, какой навык проект должен показать, иначе портфолио будет пополняться материалами без связи с выбранной ролью.</w:t>
      </w:r>
    </w:p>
    <w:p w14:paraId="6E3AEEC0" w14:textId="77777777" w:rsidR="00AF1C8D" w:rsidRDefault="00000000">
      <w:pPr>
        <w:pStyle w:val="LectureCallout"/>
        <w:keepLines/>
        <w:pBdr>
          <w:top w:val="single" w:sz="4" w:space="6" w:color="EFF5F6"/>
          <w:left w:val="single" w:sz="16" w:space="8" w:color="176B72"/>
          <w:bottom w:val="single" w:sz="4" w:space="6" w:color="EFF5F6"/>
        </w:pBdr>
        <w:shd w:val="clear" w:color="auto" w:fill="EFF5F6"/>
        <w:spacing w:before="160" w:after="240"/>
        <w:ind w:left="200" w:right="200"/>
      </w:pPr>
      <w:r>
        <w:t>Сильное доказательство отвечает на конкретный вопрос о компетенции. Количество приложенных файлов само по себе не делает профессиональное предложение убедительнее.</w:t>
      </w:r>
    </w:p>
    <w:p w14:paraId="65E62E50" w14:textId="77777777" w:rsidR="00AF1C8D" w:rsidRDefault="00000000">
      <w:pPr>
        <w:pStyle w:val="1"/>
        <w:pageBreakBefore/>
        <w:spacing w:before="0"/>
      </w:pPr>
      <w:bookmarkStart w:id="3" w:name="Section_04"/>
      <w:bookmarkEnd w:id="3"/>
      <w:r>
        <w:lastRenderedPageBreak/>
        <w:t>Портфолио: от коллекции работ к объяснению вклада</w:t>
      </w:r>
    </w:p>
    <w:p w14:paraId="4A8BA8ED" w14:textId="77777777" w:rsidR="00AF1C8D" w:rsidRDefault="00000000">
      <w:r>
        <w:t>Портфолио — отобранный набор материалов, позволяющий оценить релевантный опыт. Его задача отличается от архива: архив сохраняет все, а портфолио помогает аудитории быстро понять, какие задачи автор решал и что именно сделал.</w:t>
      </w:r>
    </w:p>
    <w:p w14:paraId="6ADC5B38" w14:textId="77777777" w:rsidR="00AF1C8D" w:rsidRDefault="00000000">
      <w:r>
        <w:t>Для каждого кейса предлагается структура: контекст — задача — ограничения — роль — действия — результат — выводы. При командной работе отдельно обозначают вклад остальных участников. Если доступ к исходным данным ограничен, можно представить обезличенную схему и объяснить причину отсутствия деталей.</w:t>
      </w:r>
    </w:p>
    <w:p w14:paraId="22A46C5B" w14:textId="77777777" w:rsidR="00AF1C8D" w:rsidRDefault="00000000">
      <w:pPr>
        <w:pStyle w:val="21"/>
      </w:pPr>
      <w:r>
        <w:t>Пример описания учебного кейса</w:t>
      </w:r>
    </w:p>
    <w:p w14:paraId="18DDA006" w14:textId="77777777" w:rsidR="00AF1C8D" w:rsidRDefault="00000000">
      <w:r>
        <w:t>«В учебной команде из четырех человек я отвечал за подготовку вопросов и кодирование пяти интервью. Результат — таблица тем и рекомендация уточнить описание услуги. Решение не внедрялось, поэтому коммерческий эффект не оценивался». Такое описание сохраняет значимость работы без приписывания несуществующего внедрения.</w:t>
      </w:r>
    </w:p>
    <w:p w14:paraId="0950CC2B" w14:textId="77777777" w:rsidR="00AF1C8D" w:rsidRDefault="00000000">
      <w:r>
        <w:t>Размещайте результат рядом с доказательством. Если заявлено улучшение текста, покажите исходный и измененный фрагменты с пояснением. Если названа экономия времени, приведите способ измерения и условия сравнения. Не подменяйте фактический результат эстетической оценкой оформления.</w:t>
      </w:r>
    </w:p>
    <w:p w14:paraId="7BB533C2" w14:textId="77777777" w:rsidR="00AF1C8D" w:rsidRDefault="00000000">
      <w:r>
        <w:t>Неудачный или незавершенный проект тоже может быть учебно полезен, если раскрыты причины, принятые решения и выводы. Однако его статус должен быть очевиден. Макет, прототип и готовый внедренный продукт — разные результаты.</w:t>
      </w:r>
    </w:p>
    <w:p w14:paraId="718F84C5" w14:textId="77777777" w:rsidR="00AF1C8D" w:rsidRDefault="00000000">
      <w:r>
        <w:t>Порядок кейсов определяется задачей аудитории. Для аналитической стажировки сначала показываются аналитические работы, даже если другой проект выглядит зрелищнее. К каждому файлу добавьте понятное название, дату, роль автора и краткое описание содержания.</w:t>
      </w:r>
    </w:p>
    <w:p w14:paraId="29E57DF7" w14:textId="77777777" w:rsidR="00AF1C8D" w:rsidRDefault="00000000">
      <w:r>
        <w:t>Перед передачей портфолио проверьте разрешения на использование материалов. Закрытые документы заказчика, персональные данные и чужие неопубликованные работы не становятся допустимыми к публикации только потому, что демонстрируют ваш вклад.</w:t>
      </w:r>
    </w:p>
    <w:p w14:paraId="641E4512" w14:textId="77777777" w:rsidR="00AF1C8D" w:rsidRDefault="00000000">
      <w:pPr>
        <w:pStyle w:val="1"/>
        <w:pageBreakBefore/>
        <w:spacing w:before="0"/>
      </w:pPr>
      <w:bookmarkStart w:id="4" w:name="Section_05"/>
      <w:bookmarkEnd w:id="4"/>
      <w:r>
        <w:lastRenderedPageBreak/>
        <w:t>Резюме, биография и профессиональные рекомендации</w:t>
      </w:r>
    </w:p>
    <w:p w14:paraId="784CA34B" w14:textId="77777777" w:rsidR="00AF1C8D" w:rsidRDefault="00000000">
      <w:r>
        <w:t>Резюме помогает быстро оценить соответствие определенной роли. Оно не должно повторять все содержание портфолио. В начале обозначаются направление и релевантные компетенции, затем опыт и подтверждения. Состав и порядок разделов выбираются под задачу, а не по принципу максимальной длины.</w:t>
      </w:r>
    </w:p>
    <w:p w14:paraId="2F2179B2" w14:textId="77777777" w:rsidR="00AF1C8D" w:rsidRDefault="00000000">
      <w:r>
        <w:t>Формулировку опыта удобно строить через действие, объект и результат: «Систематизировал материалы десяти учебных кейсов и подготовил единую таблицу признаков». Если результат не измерялся, не нужно добавлять произвольный процент улучшения. Можно точно описать созданный продукт и его назначение.</w:t>
      </w:r>
    </w:p>
    <w:p w14:paraId="32466879" w14:textId="77777777" w:rsidR="00AF1C8D" w:rsidRDefault="00000000">
      <w:pPr>
        <w:pStyle w:val="21"/>
      </w:pPr>
      <w:r>
        <w:t>Биография и краткая справка</w:t>
      </w:r>
    </w:p>
    <w:p w14:paraId="5222B662" w14:textId="77777777" w:rsidR="00AF1C8D" w:rsidRDefault="00000000">
      <w:r>
        <w:t>Биография связывает опыт в понятную историю: направление подготовки, значимые проекты и текущая профессиональная цель. Она может быть написана от первого или третьего лица в зависимости от площадки. Во всех версиях даты, роли и названия должны совпадать.</w:t>
      </w:r>
    </w:p>
    <w:p w14:paraId="18BBB1EF" w14:textId="77777777" w:rsidR="00AF1C8D" w:rsidRDefault="00000000">
      <w:r>
        <w:t>Рекомендация отражает опыт взаимодействия конкретного человека с автором. Просьба о рекомендации должна позволять отказ и честную оценку. Не следует предлагать подписать вымышленный отзыв или редактировать смысл так, чтобы частный комментарий выглядел подтверждением более широкой квалификации.</w:t>
      </w:r>
    </w:p>
    <w:p w14:paraId="73A5D99D" w14:textId="77777777" w:rsidR="00AF1C8D" w:rsidRDefault="00000000">
      <w:r>
        <w:t>Контакт рекомендателя передают с согласия. В учебном комплекте достаточно описать, кто мог бы подтвердить конкретный вклад, без публикации телефона или личной переписки. Отзыв из закрытого чата не становится публичным материалом автоматически.</w:t>
      </w:r>
    </w:p>
    <w:p w14:paraId="3C9A5A4A" w14:textId="77777777" w:rsidR="00AF1C8D" w:rsidRDefault="00000000">
      <w:r>
        <w:t>Проверка согласованности включает написание имен, даты, названия проектов, доступность ссылок и одинаковое обозначение статуса работ. Расхождения могут возникнуть случайно, поэтому исправляются через сверку, а не через предположение о мотивах автора.</w:t>
      </w:r>
    </w:p>
    <w:p w14:paraId="0886A546" w14:textId="77777777" w:rsidR="00AF1C8D" w:rsidRDefault="00000000">
      <w:pPr>
        <w:pStyle w:val="LectureCallout"/>
        <w:keepLines/>
        <w:pBdr>
          <w:top w:val="single" w:sz="4" w:space="6" w:color="EFF5F6"/>
          <w:left w:val="single" w:sz="16" w:space="8" w:color="176B72"/>
          <w:bottom w:val="single" w:sz="4" w:space="6" w:color="EFF5F6"/>
        </w:pBdr>
        <w:shd w:val="clear" w:color="auto" w:fill="EFF5F6"/>
        <w:spacing w:before="160" w:after="240"/>
        <w:ind w:left="200" w:right="200"/>
      </w:pPr>
      <w:r>
        <w:t>Хорошее резюме позволяет быстро найти релевантные основания для дальнейшего разговора. Оно не должно создавать впечатление квалификации, которую автор не сможет подтвердить.</w:t>
      </w:r>
    </w:p>
    <w:p w14:paraId="307F207C" w14:textId="77777777" w:rsidR="00AF1C8D" w:rsidRDefault="00000000">
      <w:pPr>
        <w:pStyle w:val="1"/>
        <w:pageBreakBefore/>
        <w:spacing w:before="0"/>
      </w:pPr>
      <w:bookmarkStart w:id="5" w:name="Section_06"/>
      <w:bookmarkEnd w:id="5"/>
      <w:r>
        <w:lastRenderedPageBreak/>
        <w:t>Профессиональные связи и взаимность</w:t>
      </w:r>
    </w:p>
    <w:p w14:paraId="180DF56A" w14:textId="77777777" w:rsidR="00AF1C8D" w:rsidRDefault="00000000">
      <w:r>
        <w:t>Профессиональные связи в курсе рассматриваются как устойчивое взаимодействие по общим задачам, а не как список людей, от которых нужно получить выгоду. Знакомство начинается с понятного контекста: почему вы обращаетесь, чем связан ваш вопрос с опытом адресата и какого участия ожидаете.</w:t>
      </w:r>
    </w:p>
    <w:p w14:paraId="6A8C981B" w14:textId="77777777" w:rsidR="00AF1C8D" w:rsidRDefault="00000000">
      <w:r>
        <w:t>Короткий запрос конкретнее общей просьбы «помогите построить карьеру». Например: «Я готовлю учебный кейс по структуре портфолио. Можете ли вы указать один критерий, по которому оцениваете роль начинающего участника проекта?» Адресату должно быть легко понять объем просьбы и возможность отказа.</w:t>
      </w:r>
    </w:p>
    <w:p w14:paraId="2EB43148" w14:textId="77777777" w:rsidR="00AF1C8D" w:rsidRDefault="00000000">
      <w:pPr>
        <w:pStyle w:val="21"/>
      </w:pPr>
      <w:r>
        <w:t>Поддержание контакта</w:t>
      </w:r>
    </w:p>
    <w:p w14:paraId="51D35918" w14:textId="77777777" w:rsidR="00AF1C8D" w:rsidRDefault="00000000">
      <w:r>
        <w:t>После полезного разговора можно поблагодарить и сообщить, как была использована рекомендация. Не следует требовать постоянного консультирования или многократно повторять запрос при отсутствии ответа. Уважение к границам относится к качеству профессионального взаимодействия.</w:t>
      </w:r>
    </w:p>
    <w:p w14:paraId="340DC191" w14:textId="77777777" w:rsidR="00AF1C8D" w:rsidRDefault="00000000">
      <w:r>
        <w:t>Взаимность не означает обязательный немедленный обмен услугами. Она может выражаться в выполнении договоренности, корректном указании авторства, передаче релевантного материала или участии в общей задаче. Не нужно обещать помощь, которую невозможно оказать.</w:t>
      </w:r>
    </w:p>
    <w:p w14:paraId="0EC794F8" w14:textId="77777777" w:rsidR="00AF1C8D" w:rsidRDefault="00000000">
      <w:r>
        <w:t>Различайте контакт, сотрудничество и рекомендацию. Факт переписки с известным специалистом не дает права представлять его как партнера или наставника без согласования. Название организации в портфолио также не должно создавать ложного впечатления трудовых отношений.</w:t>
      </w:r>
    </w:p>
    <w:p w14:paraId="19AAB7E7" w14:textId="77777777" w:rsidR="00AF1C8D" w:rsidRDefault="00000000">
      <w:r>
        <w:t>Для учебного плана полезно выбрать несколько доступных форм: участие в обсуждении, содержательный вопрос на мероприятии, совместный проект, обращение за конкретной обратной связью. Число добавленных контактов не является достаточным показателем качества сети.</w:t>
      </w:r>
    </w:p>
    <w:p w14:paraId="455DC92C" w14:textId="77777777" w:rsidR="00AF1C8D" w:rsidRDefault="00000000">
      <w:r>
        <w:t>Результат контакта оценивается по ясности и выполнению договоренности. Даже вежливый отказ может дать полезную информацию о границах запроса, не означая отрицательной оценки личности студента.</w:t>
      </w:r>
    </w:p>
    <w:p w14:paraId="39FB75ED" w14:textId="77777777" w:rsidR="00AF1C8D" w:rsidRDefault="00000000">
      <w:pPr>
        <w:pStyle w:val="1"/>
        <w:pageBreakBefore/>
        <w:spacing w:before="0"/>
      </w:pPr>
      <w:bookmarkStart w:id="6" w:name="Section_07"/>
      <w:bookmarkEnd w:id="6"/>
      <w:r>
        <w:lastRenderedPageBreak/>
        <w:t>Видимость, устойчивость и развитие</w:t>
      </w:r>
    </w:p>
    <w:p w14:paraId="7EE7CFDF" w14:textId="77777777" w:rsidR="00AF1C8D" w:rsidRDefault="00000000">
      <w:r>
        <w:t>Личная публичность должна соответствовать целям и допустимым границам. Одному специалисту нужен открытый профессиональный профиль, другому достаточно портфолио для ограниченного круга адресатов. Отсутствие постоянного блога не доказывает слабость профессионального имиджа.</w:t>
      </w:r>
    </w:p>
    <w:p w14:paraId="1E1EA8DB" w14:textId="77777777" w:rsidR="00AF1C8D" w:rsidRDefault="00000000">
      <w:r>
        <w:t>Работа Л. Робертс обращает внимание на конструирование профессионального образа в организационном контексте [2]. Для учебной практики отсюда важен вопрос: какие ожидания связаны с ролью и как представить компетенции, не принимая дискриминационные стереотипы за обязательный стандарт поведения.</w:t>
      </w:r>
    </w:p>
    <w:p w14:paraId="1940A35E" w14:textId="77777777" w:rsidR="00AF1C8D" w:rsidRDefault="00000000">
      <w:pPr>
        <w:pStyle w:val="21"/>
      </w:pPr>
      <w:r>
        <w:t>План развития</w:t>
      </w:r>
    </w:p>
    <w:p w14:paraId="5FC7FD67" w14:textId="77777777" w:rsidR="00AF1C8D" w:rsidRDefault="00000000">
      <w:r>
        <w:t>Разделите действия на развитие навыка, получение подтверждения и объяснение опыта аудитории. Например: освоить метод анализа; выполнить небольшой проект; получить обратную связь; подготовить кейс. Публикация без нового содержания не заменяет первые этапы.</w:t>
      </w:r>
    </w:p>
    <w:p w14:paraId="1651315C" w14:textId="77777777" w:rsidR="00AF1C8D" w:rsidRDefault="00000000">
      <w:r>
        <w:t>План должен учитывать ресурс времени. Нереалистичная частота публикаций способна сделать коммуникацию формальной. Лучше определить задачи и основания для обновления: завершен проект, появилась новая роль, уточнена специализация, изменились условия сотрудничества.</w:t>
      </w:r>
    </w:p>
    <w:p w14:paraId="43DF6133" w14:textId="77777777" w:rsidR="00AF1C8D" w:rsidRDefault="00000000">
      <w:r>
        <w:t>Проверяйте устаревшие заявления. Ссылка на завершенный проект может сохраняться, но статус необходимо обновить. Нельзя продолжать представляться сотрудником организации после прекращения соответствующей роли без ясного указания периода.</w:t>
      </w:r>
    </w:p>
    <w:p w14:paraId="6BA0C601" w14:textId="77777777" w:rsidR="00AF1C8D" w:rsidRDefault="00000000">
      <w:r>
        <w:t>Оценка профессиональной видимости включает качество понимания: какие задачи аудитория связывает с автором и на чем строит вывод. Приглашение к разговору полезно фиксировать, но оно зависит не только от материалов и не доказывает автоматически качество личного бренда.</w:t>
      </w:r>
    </w:p>
    <w:p w14:paraId="11D90476" w14:textId="77777777" w:rsidR="00AF1C8D" w:rsidRDefault="00000000">
      <w:pPr>
        <w:pStyle w:val="LectureCallout"/>
        <w:keepLines/>
        <w:pBdr>
          <w:top w:val="single" w:sz="4" w:space="6" w:color="EFF5F6"/>
          <w:left w:val="single" w:sz="16" w:space="8" w:color="176B72"/>
          <w:bottom w:val="single" w:sz="4" w:space="6" w:color="EFF5F6"/>
        </w:pBdr>
        <w:shd w:val="clear" w:color="auto" w:fill="EFF5F6"/>
        <w:spacing w:before="160" w:after="240"/>
        <w:ind w:left="200" w:right="200"/>
      </w:pPr>
      <w:r>
        <w:t>Профессиональный бренд развивается вместе с опытом. Коммуникация должна делать развитие понятным, а не опережать его неподтвержденными обещаниями.</w:t>
      </w:r>
    </w:p>
    <w:p w14:paraId="4D8CCC27" w14:textId="77777777" w:rsidR="00AF1C8D" w:rsidRDefault="00000000">
      <w:pPr>
        <w:pStyle w:val="1"/>
        <w:pageBreakBefore/>
        <w:spacing w:before="0"/>
      </w:pPr>
      <w:bookmarkStart w:id="7" w:name="Section_08"/>
      <w:bookmarkEnd w:id="7"/>
      <w:r>
        <w:lastRenderedPageBreak/>
        <w:t>Учебный кейс: опыт есть, но его статус скрыт</w:t>
      </w:r>
    </w:p>
    <w:p w14:paraId="2D80D13B" w14:textId="77777777" w:rsidR="00AF1C8D" w:rsidRDefault="00000000">
      <w:r>
        <w:t>Кейс вымышленный. Виктор ищет стажировку и считает, что без коммерческого опыта ему нечего показать. Он пишет в резюме «руководитель маркетингового агентства», хотя речь идет о студенческой команде, созданной для одного задания. В портфолио указаны только логотипы и итоговая презентация.</w:t>
      </w:r>
    </w:p>
    <w:p w14:paraId="41E78ED6" w14:textId="77777777" w:rsidR="00AF1C8D" w:rsidRDefault="00000000">
      <w:pPr>
        <w:pStyle w:val="21"/>
      </w:pPr>
      <w:r>
        <w:t>Диагностика</w:t>
      </w:r>
    </w:p>
    <w:p w14:paraId="6B5F8FBE" w14:textId="77777777" w:rsidR="00AF1C8D" w:rsidRDefault="00000000">
      <w:r>
        <w:t>Проблема не в отсутствии любых достижений, а в неточном обозначении роли и слабом раскрытии выполненной работы. Громкая должность создает ожидание ответственности, которое материалы не подтверждают. Логотипы не объясняют, какую задачу решал Виктор.</w:t>
      </w:r>
    </w:p>
    <w:p w14:paraId="4C1A4A5C" w14:textId="77777777" w:rsidR="00AF1C8D" w:rsidRDefault="00000000">
      <w:r>
        <w:t>После уточнения выясняется, что он распределял задачи между четырьмя участниками, организовал сбор материалов и подготовил итоговую структуру презентации. Это содержательный опыт координации учебного проекта, который можно представить без фиктивного агентства.</w:t>
      </w:r>
    </w:p>
    <w:p w14:paraId="27A37946" w14:textId="77777777" w:rsidR="00AF1C8D" w:rsidRDefault="00000000">
      <w:pPr>
        <w:pStyle w:val="21"/>
      </w:pPr>
      <w:r>
        <w:t>Новая версия</w:t>
      </w:r>
    </w:p>
    <w:p w14:paraId="457041B4" w14:textId="77777777" w:rsidR="00AF1C8D" w:rsidRDefault="00000000">
      <w:r>
        <w:t>«Координатор учебного командного проекта: согласовал план, распределил задачи, собрал материалы в единую презентацию. Проект выполнен в рамках дисциплины; коммерческое внедрение не проводилось». В приложение добавляются план работы, фрагмент результата и пояснение собственного вклада.</w:t>
      </w:r>
    </w:p>
    <w:p w14:paraId="7E9576F8" w14:textId="77777777" w:rsidR="00AF1C8D" w:rsidRDefault="00000000">
      <w:r>
        <w:t>Следующий шаг развития — получить обратную связь по организации работы и выполнить еще одну задачу с документированными условиями. Не требуется немедленно создавать публичный блог или покупать визуальное оформление, пока содержание опыта не описано ясно.</w:t>
      </w:r>
    </w:p>
    <w:p w14:paraId="47020D77" w14:textId="77777777" w:rsidR="00AF1C8D" w:rsidRDefault="00000000">
      <w:r>
        <w:t>Кейс показывает разницу между скромным, но доказуемым профессиональным предложением и эффектным, но неточным титулом. Для работодателя вопрос о соответствии роли можно обсуждать предметно только тогда, когда статус и вклад раскрыты.</w:t>
      </w:r>
    </w:p>
    <w:p w14:paraId="34CB745C" w14:textId="77777777" w:rsidR="00AF1C8D" w:rsidRDefault="00000000">
      <w:r>
        <w:t>Обсудите, какие две компетенции подтверждает история Виктора и какие выводы о его готовности к самостоятельному управлению организацией пока делать нельзя.</w:t>
      </w:r>
    </w:p>
    <w:p w14:paraId="7C3BB700" w14:textId="77777777" w:rsidR="00AF1C8D" w:rsidRDefault="00000000">
      <w:pPr>
        <w:pStyle w:val="1"/>
        <w:pageBreakBefore/>
        <w:spacing w:before="0"/>
      </w:pPr>
      <w:bookmarkStart w:id="8" w:name="Section_09"/>
      <w:bookmarkEnd w:id="8"/>
      <w:r>
        <w:lastRenderedPageBreak/>
        <w:t>Самостоятельная работа: профессиональный комплект</w:t>
      </w:r>
    </w:p>
    <w:p w14:paraId="19E86314" w14:textId="77777777" w:rsidR="00AF1C8D" w:rsidRDefault="00000000">
      <w:r>
        <w:t>Выберите одну целевую роль: стажер, начинающий специалист или исполнитель конкретной услуги. Подготовьте краткое описание аудитории и ее задачи. Для учебного персонажа исходные сведения должны быть заданы заранее, чтобы не добавлять достижения ради удобства оформления.</w:t>
      </w:r>
    </w:p>
    <w:p w14:paraId="032DB549" w14:textId="77777777" w:rsidR="00AF1C8D" w:rsidRDefault="00000000">
      <w:r>
        <w:t>Комплект включает позиционирование до 80 слов, резюме объемом до двух страниц, два кейса и матрицу «компетенция — подтверждение — ограничение». Добавьте план развития на ближайший учебный период: один навык, один проект и один способ получить обратную связь.</w:t>
      </w:r>
    </w:p>
    <w:p w14:paraId="0B905BC8" w14:textId="77777777" w:rsidR="00AF1C8D" w:rsidRDefault="00000000">
      <w:pPr>
        <w:pStyle w:val="21"/>
      </w:pPr>
      <w:r>
        <w:t>Проверка согласованности</w:t>
      </w:r>
    </w:p>
    <w:p w14:paraId="3C1DCC38" w14:textId="77777777" w:rsidR="00AF1C8D" w:rsidRDefault="00000000">
      <w:r>
        <w:t>Попросите однокурсника определить по материалам роль, наиболее подтвержденную компетенцию и границу опыта. Сравните его ответы с замыслом. Если выводы расходятся, найдите конкретный фрагмент, породивший неоднозначность, и переработайте его.</w:t>
      </w:r>
    </w:p>
    <w:p w14:paraId="5E305287" w14:textId="77777777" w:rsidR="00AF1C8D" w:rsidRDefault="00000000">
      <w:r>
        <w:t>Составьте образец обращения за профессиональной обратной связью. Укажите контекст, один вопрос и предполагаемый объем участия адресата. Отправка реальному человеку не обязательна: оценивается качество запроса, а не количество полученных ответов.</w:t>
      </w:r>
    </w:p>
    <w:p w14:paraId="7EDAFFEC" w14:textId="77777777" w:rsidR="00AF1C8D" w:rsidRDefault="00000000">
      <w:r>
        <w:t>Оценивание: релевантность роли — 2 балла; доказательства и раскрытие вклада — 3; согласованность материалов — 2; реалистичность развития — 2; этика и конфиденциальность — 1. Максимум — 10 баллов. Известность организаций и стоимость оформления сами по себе баллов не добавляют.</w:t>
      </w:r>
    </w:p>
    <w:p w14:paraId="3298FCBE" w14:textId="77777777" w:rsidR="00AF1C8D" w:rsidRDefault="00000000">
      <w:r>
        <w:t>В пояснении объемом 400–600 слов опишите, что сознательно исключено из комплекта и почему. Отбор — часть профессиональной работы: нерелевантные сведения, чужие данные и неподтвержденные формулировки не должны сохраняться только ради объема.</w:t>
      </w:r>
    </w:p>
    <w:p w14:paraId="3224D02D" w14:textId="77777777" w:rsidR="00AF1C8D" w:rsidRDefault="00000000">
      <w:pPr>
        <w:pStyle w:val="1"/>
        <w:pageBreakBefore/>
        <w:spacing w:before="0"/>
      </w:pPr>
      <w:bookmarkStart w:id="9" w:name="Section_10"/>
      <w:bookmarkEnd w:id="9"/>
      <w:r>
        <w:lastRenderedPageBreak/>
        <w:t>Самопроверка и источники</w:t>
      </w:r>
    </w:p>
    <w:p w14:paraId="49532F4E" w14:textId="77777777" w:rsidR="00AF1C8D" w:rsidRDefault="00000000">
      <w:pPr>
        <w:pStyle w:val="21"/>
      </w:pPr>
      <w:r>
        <w:t>Вопросы</w:t>
      </w:r>
    </w:p>
    <w:p w14:paraId="174A9ED4" w14:textId="77777777" w:rsidR="00AF1C8D" w:rsidRDefault="00000000">
      <w:r>
        <w:t>1. Чем профессиональный бренд отличается от популярности? 2. Как представить учебный проект? 3. Что подтверждает сертификат участия? 4. Почему контакт не равен партнерству? 5. Какие три задачи объединяет план профессионального развития?</w:t>
      </w:r>
    </w:p>
    <w:p w14:paraId="24BBD62D" w14:textId="77777777" w:rsidR="00AF1C8D" w:rsidRDefault="00000000">
      <w:pPr>
        <w:pStyle w:val="21"/>
      </w:pPr>
      <w:r>
        <w:t>Ответы-ориентиры</w:t>
      </w:r>
    </w:p>
    <w:p w14:paraId="551447CD" w14:textId="77777777" w:rsidR="00AF1C8D" w:rsidRDefault="00000000">
      <w:r>
        <w:t>Брендинг связан с профессиональным позиционированием и его подтверждением, а популярность — с известностью. Учебный статус и собственный вклад раскрывают прямо. Сертификат участия не доказывает владение всеми навыками. Партнерство требует реального согласованного взаимодействия. План связывает развитие навыка, получение доказательства и понятное представление опыта.</w:t>
      </w:r>
    </w:p>
    <w:p w14:paraId="061359F2" w14:textId="77777777" w:rsidR="00AF1C8D" w:rsidRDefault="00000000">
      <w:pPr>
        <w:pStyle w:val="21"/>
      </w:pPr>
      <w:r>
        <w:t>Итог и термины</w:t>
      </w:r>
    </w:p>
    <w:p w14:paraId="2F6E3D8E" w14:textId="77777777" w:rsidR="00AF1C8D" w:rsidRDefault="00000000">
      <w:r>
        <w:t>Портфолио — отобранные доказательства опыта; профессиональное позиционирование — обозначение роли и предложения; карьерная готовность — способность выполнять необходимые профессиональные действия; рекомендация — оценка конкретного опыта взаимодействия; видимость — доступность профессиональной информации аудитории.</w:t>
      </w:r>
    </w:p>
    <w:p w14:paraId="333C439C" w14:textId="77777777" w:rsidR="00AF1C8D" w:rsidRDefault="00000000">
      <w:r>
        <w:t>Устойчивое представление специалиста строится на согласованности роли, доказательств и поведения. Развитие компетенций и коммуникация о них должны дополнять друг друга.</w:t>
      </w:r>
    </w:p>
    <w:p w14:paraId="29FA750A" w14:textId="77777777" w:rsidR="00AF1C8D" w:rsidRPr="00474B44" w:rsidRDefault="00000000">
      <w:pPr>
        <w:pStyle w:val="21"/>
        <w:rPr>
          <w:lang w:val="en-US"/>
        </w:rPr>
      </w:pPr>
      <w:r>
        <w:t>Источники</w:t>
      </w:r>
      <w:r w:rsidRPr="00474B44">
        <w:rPr>
          <w:lang w:val="en-US"/>
        </w:rPr>
        <w:t xml:space="preserve"> </w:t>
      </w:r>
      <w:r>
        <w:t>и</w:t>
      </w:r>
      <w:r w:rsidRPr="00474B44">
        <w:rPr>
          <w:lang w:val="en-US"/>
        </w:rPr>
        <w:t xml:space="preserve"> </w:t>
      </w:r>
      <w:r>
        <w:t>дальнейшее</w:t>
      </w:r>
      <w:r w:rsidRPr="00474B44">
        <w:rPr>
          <w:lang w:val="en-US"/>
        </w:rPr>
        <w:t xml:space="preserve"> </w:t>
      </w:r>
      <w:r>
        <w:t>чтение</w:t>
      </w:r>
    </w:p>
    <w:p w14:paraId="0868D169" w14:textId="77777777" w:rsidR="00AF1C8D" w:rsidRPr="00474B44" w:rsidRDefault="00000000">
      <w:pPr>
        <w:pStyle w:val="LectureReference"/>
        <w:rPr>
          <w:lang w:val="en-US"/>
        </w:rPr>
      </w:pPr>
      <w:r w:rsidRPr="00474B44">
        <w:rPr>
          <w:lang w:val="en-US"/>
        </w:rPr>
        <w:t xml:space="preserve">[1] Gorbatov S., Khapova S. N., Lysova E. I. Personal Branding: Interdisciplinary Systematic Review and Research Agenda. Frontiers in Psychology. 2018. Vol. 9. Article 2238. </w:t>
      </w:r>
      <w:hyperlink r:id="rId8" w:history="1">
        <w:r>
          <w:rPr>
            <w:color w:val="176B72"/>
            <w:u w:val="single"/>
          </w:rPr>
          <w:t>Перейти</w:t>
        </w:r>
        <w:r w:rsidRPr="00474B44">
          <w:rPr>
            <w:color w:val="176B72"/>
            <w:u w:val="single"/>
            <w:lang w:val="en-US"/>
          </w:rPr>
          <w:t xml:space="preserve"> </w:t>
        </w:r>
        <w:r>
          <w:rPr>
            <w:color w:val="176B72"/>
            <w:u w:val="single"/>
          </w:rPr>
          <w:t>к</w:t>
        </w:r>
        <w:r w:rsidRPr="00474B44">
          <w:rPr>
            <w:color w:val="176B72"/>
            <w:u w:val="single"/>
            <w:lang w:val="en-US"/>
          </w:rPr>
          <w:t xml:space="preserve"> </w:t>
        </w:r>
        <w:r>
          <w:rPr>
            <w:color w:val="176B72"/>
            <w:u w:val="single"/>
          </w:rPr>
          <w:t>источнику</w:t>
        </w:r>
      </w:hyperlink>
      <w:r w:rsidRPr="00474B44">
        <w:rPr>
          <w:lang w:val="en-US"/>
        </w:rPr>
        <w:t>.</w:t>
      </w:r>
    </w:p>
    <w:p w14:paraId="38365547" w14:textId="77777777" w:rsidR="00AF1C8D" w:rsidRPr="00474B44" w:rsidRDefault="00000000">
      <w:pPr>
        <w:pStyle w:val="LectureReference"/>
        <w:rPr>
          <w:lang w:val="en-US"/>
        </w:rPr>
      </w:pPr>
      <w:r w:rsidRPr="00474B44">
        <w:rPr>
          <w:lang w:val="en-US"/>
        </w:rPr>
        <w:t xml:space="preserve">[2] Roberts L. M. Changing Faces: Professional Image Construction in Diverse Organizational Settings. Academy of Management Review. 2005. Vol. 30(4). P. 685–711. </w:t>
      </w:r>
      <w:hyperlink r:id="rId9" w:history="1">
        <w:r>
          <w:rPr>
            <w:color w:val="176B72"/>
            <w:u w:val="single"/>
          </w:rPr>
          <w:t>Перейти</w:t>
        </w:r>
        <w:r w:rsidRPr="00474B44">
          <w:rPr>
            <w:color w:val="176B72"/>
            <w:u w:val="single"/>
            <w:lang w:val="en-US"/>
          </w:rPr>
          <w:t xml:space="preserve"> </w:t>
        </w:r>
        <w:r>
          <w:rPr>
            <w:color w:val="176B72"/>
            <w:u w:val="single"/>
          </w:rPr>
          <w:t>к</w:t>
        </w:r>
        <w:r w:rsidRPr="00474B44">
          <w:rPr>
            <w:color w:val="176B72"/>
            <w:u w:val="single"/>
            <w:lang w:val="en-US"/>
          </w:rPr>
          <w:t xml:space="preserve"> </w:t>
        </w:r>
        <w:r>
          <w:rPr>
            <w:color w:val="176B72"/>
            <w:u w:val="single"/>
          </w:rPr>
          <w:t>источнику</w:t>
        </w:r>
      </w:hyperlink>
      <w:r w:rsidRPr="00474B44">
        <w:rPr>
          <w:lang w:val="en-US"/>
        </w:rPr>
        <w:t>.</w:t>
      </w:r>
    </w:p>
    <w:p w14:paraId="17725E1C" w14:textId="77777777" w:rsidR="00AF1C8D" w:rsidRDefault="00000000">
      <w:pPr>
        <w:pStyle w:val="LectureReference"/>
      </w:pPr>
      <w:r w:rsidRPr="00474B44">
        <w:rPr>
          <w:lang w:val="en-US"/>
        </w:rPr>
        <w:t xml:space="preserve">[3] NACE. </w:t>
      </w:r>
      <w:r>
        <w:t xml:space="preserve">What Is Career Readiness? Компетенции готовности к профессиональной деятельности и примеры поведения. </w:t>
      </w:r>
      <w:hyperlink r:id="rId10" w:history="1">
        <w:r>
          <w:rPr>
            <w:color w:val="176B72"/>
            <w:u w:val="single"/>
          </w:rPr>
          <w:t>Перейти к источнику</w:t>
        </w:r>
      </w:hyperlink>
      <w:r>
        <w:t>.</w:t>
      </w:r>
    </w:p>
    <w:p w14:paraId="19911F6E" w14:textId="77777777" w:rsidR="00AF1C8D" w:rsidRDefault="00000000">
      <w:pPr>
        <w:pStyle w:val="LectureReference"/>
      </w:pPr>
      <w:r>
        <w:t>Электронные ресурсы проверялись при подготовке комплекта 27.09.2026. Академические публикации приведены для дальнейшего чтения; доступ к полному тексту может быть ограничен. Кейсы, шаблоны и задания разработаны для этого курса.</w:t>
      </w:r>
    </w:p>
    <w:sectPr w:rsidR="00AF1C8D" w:rsidSect="00034616">
      <w:headerReference w:type="default" r:id="rId11"/>
      <w:footerReference w:type="default" r:id="rId12"/>
      <w:pgSz w:w="11906" w:h="16838"/>
      <w:pgMar w:top="1219" w:right="1219" w:bottom="1134" w:left="1219" w:header="482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FF2C9" w14:textId="77777777" w:rsidR="000240E8" w:rsidRDefault="000240E8">
      <w:pPr>
        <w:spacing w:after="0" w:line="240" w:lineRule="auto"/>
      </w:pPr>
      <w:r>
        <w:separator/>
      </w:r>
    </w:p>
  </w:endnote>
  <w:endnote w:type="continuationSeparator" w:id="0">
    <w:p w14:paraId="522FE8B6" w14:textId="77777777" w:rsidR="000240E8" w:rsidRDefault="000240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8E705" w14:textId="30026FEF" w:rsidR="00AF1C8D" w:rsidRDefault="00000000">
    <w:pPr>
      <w:pStyle w:val="a7"/>
      <w:pBdr>
        <w:top w:val="single" w:sz="4" w:space="7" w:color="CDDAE0"/>
      </w:pBdr>
      <w:tabs>
        <w:tab w:val="right" w:pos="9468"/>
      </w:tabs>
      <w:spacing w:before="80"/>
    </w:pPr>
    <w:r>
      <w:tab/>
    </w:r>
    <w:r>
      <w:rPr>
        <w:sz w:val="17"/>
      </w:rPr>
      <w:fldChar w:fldCharType="begin"/>
    </w:r>
    <w:r>
      <w:rPr>
        <w:sz w:val="17"/>
      </w:rPr>
      <w:instrText xml:space="preserve"> PAGE </w:instrText>
    </w:r>
    <w:r>
      <w:rPr>
        <w:sz w:val="17"/>
      </w:rPr>
      <w:fldChar w:fldCharType="separate"/>
    </w:r>
    <w:r>
      <w:rPr>
        <w:sz w:val="17"/>
      </w:rPr>
      <w:t>1</w:t>
    </w:r>
    <w:r>
      <w:rPr>
        <w:sz w:val="17"/>
      </w:rPr>
      <w:fldChar w:fldCharType="end"/>
    </w:r>
    <w:r>
      <w:rPr>
        <w:sz w:val="17"/>
      </w:rPr>
      <w:t xml:space="preserve"> / </w:t>
    </w:r>
    <w:r>
      <w:rPr>
        <w:sz w:val="17"/>
      </w:rPr>
      <w:fldChar w:fldCharType="begin"/>
    </w:r>
    <w:r>
      <w:rPr>
        <w:sz w:val="17"/>
      </w:rPr>
      <w:instrText xml:space="preserve"> NUMPAGES </w:instrText>
    </w:r>
    <w:r>
      <w:rPr>
        <w:sz w:val="17"/>
      </w:rPr>
      <w:fldChar w:fldCharType="separate"/>
    </w:r>
    <w:r>
      <w:rPr>
        <w:sz w:val="17"/>
      </w:rPr>
      <w:t>10</w:t>
    </w:r>
    <w:r>
      <w:rPr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3B509" w14:textId="77777777" w:rsidR="000240E8" w:rsidRDefault="000240E8">
      <w:pPr>
        <w:spacing w:after="0" w:line="240" w:lineRule="auto"/>
      </w:pPr>
      <w:r>
        <w:separator/>
      </w:r>
    </w:p>
  </w:footnote>
  <w:footnote w:type="continuationSeparator" w:id="0">
    <w:p w14:paraId="55FB0629" w14:textId="77777777" w:rsidR="000240E8" w:rsidRDefault="000240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31A8B" w14:textId="790AD7B7" w:rsidR="00AF1C8D" w:rsidRDefault="00000000">
    <w:pPr>
      <w:pStyle w:val="a5"/>
      <w:pBdr>
        <w:bottom w:val="single" w:sz="4" w:space="7" w:color="CDDAE0"/>
      </w:pBdr>
      <w:tabs>
        <w:tab w:val="right" w:pos="9468"/>
      </w:tabs>
      <w:spacing w:after="120"/>
    </w:pPr>
    <w:proofErr w:type="gramStart"/>
    <w:r>
      <w:rPr>
        <w:b/>
        <w:color w:val="176B72"/>
      </w:rPr>
      <w:t>ИМИДЖМЕЙКЕРСТВО  /</w:t>
    </w:r>
    <w:proofErr w:type="gramEnd"/>
    <w:r>
      <w:rPr>
        <w:b/>
        <w:color w:val="176B72"/>
      </w:rPr>
      <w:t xml:space="preserve">  ЛЕКЦИЯ 11</w:t>
    </w:r>
    <w:r>
      <w:rPr>
        <w:sz w:val="15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9773394">
    <w:abstractNumId w:val="8"/>
  </w:num>
  <w:num w:numId="2" w16cid:durableId="477190490">
    <w:abstractNumId w:val="6"/>
  </w:num>
  <w:num w:numId="3" w16cid:durableId="1862620182">
    <w:abstractNumId w:val="5"/>
  </w:num>
  <w:num w:numId="4" w16cid:durableId="1568303931">
    <w:abstractNumId w:val="4"/>
  </w:num>
  <w:num w:numId="5" w16cid:durableId="678241590">
    <w:abstractNumId w:val="7"/>
  </w:num>
  <w:num w:numId="6" w16cid:durableId="391658894">
    <w:abstractNumId w:val="3"/>
  </w:num>
  <w:num w:numId="7" w16cid:durableId="1213155293">
    <w:abstractNumId w:val="2"/>
  </w:num>
  <w:num w:numId="8" w16cid:durableId="407456563">
    <w:abstractNumId w:val="1"/>
  </w:num>
  <w:num w:numId="9" w16cid:durableId="417990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240E8"/>
    <w:rsid w:val="00034616"/>
    <w:rsid w:val="0006063C"/>
    <w:rsid w:val="0008679D"/>
    <w:rsid w:val="0015074B"/>
    <w:rsid w:val="0029639D"/>
    <w:rsid w:val="00326F90"/>
    <w:rsid w:val="00474B44"/>
    <w:rsid w:val="00AA1D8D"/>
    <w:rsid w:val="00AF1C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E4D5DE"/>
  <w14:defaultImageDpi w14:val="300"/>
  <w15:docId w15:val="{FCC1CAAB-951D-408A-82C7-650D05270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60" w:line="278" w:lineRule="auto"/>
    </w:pPr>
    <w:rPr>
      <w:rFonts w:ascii="Times New Roman" w:eastAsia="Times New Roman" w:hAnsi="Times New Roman" w:cs="Times New Roman"/>
      <w:color w:val="202830"/>
      <w:sz w:val="26"/>
      <w:lang w:val="ru-RU" w:eastAsia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0" w:after="240" w:line="254" w:lineRule="auto"/>
      <w:outlineLvl w:val="0"/>
    </w:pPr>
    <w:rPr>
      <w:rFonts w:ascii="Arial" w:eastAsia="Arial" w:hAnsi="Arial" w:cs="Arial"/>
      <w:b/>
      <w:bCs/>
      <w:color w:val="19354A"/>
      <w:sz w:val="3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80" w:after="120" w:line="254" w:lineRule="auto"/>
      <w:outlineLvl w:val="1"/>
    </w:pPr>
    <w:rPr>
      <w:rFonts w:ascii="Arial" w:eastAsia="Arial" w:hAnsi="Arial" w:cs="Arial"/>
      <w:b/>
      <w:bCs/>
      <w:color w:val="19354A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spacing w:after="0" w:line="240" w:lineRule="auto"/>
    </w:pPr>
    <w:rPr>
      <w:rFonts w:ascii="Arial" w:eastAsia="Arial" w:hAnsi="Arial" w:cs="Arial"/>
      <w:color w:val="53616A"/>
      <w:sz w:val="16"/>
    </w:r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spacing w:after="0" w:line="240" w:lineRule="auto"/>
    </w:pPr>
    <w:rPr>
      <w:rFonts w:ascii="Arial" w:eastAsia="Arial" w:hAnsi="Arial" w:cs="Arial"/>
      <w:color w:val="53616A"/>
      <w:sz w:val="16"/>
    </w:r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before="40" w:after="260" w:line="250" w:lineRule="auto"/>
      <w:contextualSpacing/>
    </w:pPr>
    <w:rPr>
      <w:rFonts w:ascii="Arial" w:eastAsia="Arial" w:hAnsi="Arial" w:cs="Arial"/>
      <w:b/>
      <w:color w:val="19354A"/>
      <w:kern w:val="28"/>
      <w:sz w:val="4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keepNext/>
      <w:spacing w:after="240" w:line="259" w:lineRule="auto"/>
    </w:pPr>
    <w:rPr>
      <w:rFonts w:ascii="Arial" w:eastAsia="Arial" w:hAnsi="Arial" w:cs="Arial"/>
      <w:b/>
      <w:iCs/>
      <w:color w:val="176B72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ctureReference">
    <w:name w:val="Lecture Reference"/>
    <w:pPr>
      <w:spacing w:after="100" w:line="269" w:lineRule="auto"/>
    </w:pPr>
    <w:rPr>
      <w:rFonts w:ascii="Arial" w:eastAsia="Arial" w:hAnsi="Arial" w:cs="Arial"/>
      <w:color w:val="53616A"/>
      <w:sz w:val="18"/>
      <w:lang w:val="ru-RU" w:eastAsia="ru-RU"/>
    </w:rPr>
  </w:style>
  <w:style w:type="paragraph" w:customStyle="1" w:styleId="LectureCallout">
    <w:name w:val="Lecture Callout"/>
    <w:pPr>
      <w:spacing w:after="100" w:line="269" w:lineRule="auto"/>
    </w:pPr>
    <w:rPr>
      <w:rFonts w:ascii="Arial" w:eastAsia="Arial" w:hAnsi="Arial" w:cs="Arial"/>
      <w:color w:val="19354A"/>
      <w:lang w:val="ru-RU" w:eastAsia="ru-RU"/>
    </w:rPr>
  </w:style>
  <w:style w:type="paragraph" w:customStyle="1" w:styleId="LectureTable">
    <w:name w:val="Lecture Table"/>
    <w:pPr>
      <w:spacing w:after="100" w:line="269" w:lineRule="auto"/>
    </w:pPr>
    <w:rPr>
      <w:rFonts w:ascii="Arial" w:eastAsia="Arial" w:hAnsi="Arial" w:cs="Arial"/>
      <w:color w:val="19354A"/>
      <w:sz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389/fpsyg.2018.02238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naceweb.org/career-readiness/competencies/career-readiness-define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5465/amr.2005.1837887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2748</Words>
  <Characters>15669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18381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Профессиональный имидж и личный бренд</dc:title>
  <dc:subject>Имиджмейкерство. Лекция 11. Дистанционный курс для бакалавриата.</dc:subject>
  <dc:creator/>
  <cp:keywords>имиджмейкерство, лекция, бакалавриат, дистанционное обучение</cp:keywords>
  <dc:description/>
  <cp:lastModifiedBy>Mikhail Sizov</cp:lastModifiedBy>
  <cp:revision>3</cp:revision>
  <dcterms:created xsi:type="dcterms:W3CDTF">2013-12-23T23:15:00Z</dcterms:created>
  <dcterms:modified xsi:type="dcterms:W3CDTF">2026-09-27T19:56:00Z</dcterms:modified>
  <cp:category/>
</cp:coreProperties>
</file>