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8A178" w14:textId="77777777" w:rsidR="00474B25" w:rsidRDefault="00000000">
      <w:pPr>
        <w:pStyle w:val="aa"/>
        <w:spacing w:before="0"/>
      </w:pPr>
      <w:bookmarkStart w:id="0" w:name="Section_01"/>
      <w:bookmarkEnd w:id="0"/>
      <w:r>
        <w:t>Публичный имидж: выступления и взаимодействие с медиа</w:t>
      </w:r>
    </w:p>
    <w:p w14:paraId="1FD73164" w14:textId="77777777" w:rsidR="00474B25" w:rsidRDefault="00000000">
      <w:pPr>
        <w:pStyle w:val="ac"/>
      </w:pPr>
      <w:r>
        <w:t>От подготовленного текста к публичному действию</w:t>
      </w:r>
    </w:p>
    <w:p w14:paraId="1D8E9708" w14:textId="77777777" w:rsidR="00474B25" w:rsidRDefault="00000000">
      <w:r>
        <w:t>Публичный имидж формируется не только содержанием выступления, но и способом взаимодействия: насколько понятна позиция, доступны основания вывода и последовательно ли докладчик отвечает на вопросы. Тема продолжает изучение речи и невербального поведения, но переносит внимание на целостное событие — выступление, интервью или экспертный комментарий.</w:t>
      </w:r>
    </w:p>
    <w:p w14:paraId="0244CF3F" w14:textId="77777777" w:rsidR="00474B25" w:rsidRDefault="00000000">
      <w:r>
        <w:t>Публичность не означает обязательного общения с большой аудиторией. Защита учебного проекта перед комиссией, представление предложения заказчику и открытый вебинар предъявляют сходную задачу: сделать мысль понятной людям, которые не участвовали в ее подготовке. При этом жанр, длительность и степень формальности различаются.</w:t>
      </w:r>
    </w:p>
    <w:p w14:paraId="24CF665A" w14:textId="77777777" w:rsidR="00474B25" w:rsidRDefault="00000000">
      <w:pPr>
        <w:pStyle w:val="21"/>
      </w:pPr>
      <w:r>
        <w:t>Результаты изучения темы</w:t>
      </w:r>
    </w:p>
    <w:p w14:paraId="43964298" w14:textId="77777777" w:rsidR="00474B25" w:rsidRDefault="00000000">
      <w:r>
        <w:t>Студент научится планировать выступление под задачу аудитории; отделять тезис от иллюстрации и доказательства; готовить доступные материалы; проводить репетицию; отвечать на сложные вопросы без выдумывания сведений; согласовывать условия интервью и границы экспертного комментария.</w:t>
      </w:r>
    </w:p>
    <w:p w14:paraId="76859F07" w14:textId="77777777" w:rsidR="00474B25" w:rsidRDefault="00000000">
      <w:r>
        <w:t>В этой лекции предлагаются учебные шаблоны, а не универсальные формулы успешного выступления. Для проверки понятности можно обращаться к логике Clear Communication Index CDC, адаптируя ее к образовательной ситуации [1]. Официальная оценка по этому инструменту здесь не проводится.</w:t>
      </w:r>
    </w:p>
    <w:p w14:paraId="7F32B943" w14:textId="77777777" w:rsidR="00474B25"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Убедительное выступление позволяет аудитории восстановить ход рассуждения. Внешняя уверенность не должна скрывать отсутствие данных или неопределенность результата.</w:t>
      </w:r>
    </w:p>
    <w:p w14:paraId="57FA4AEE" w14:textId="77777777" w:rsidR="00474B25" w:rsidRDefault="00000000">
      <w:r>
        <w:t>Итог недели — короткое публичное выступление, комплект материалов и анализ ответов на вопросы. Открытая публикация записи не обязательна.</w:t>
      </w:r>
    </w:p>
    <w:p w14:paraId="38197596" w14:textId="77777777" w:rsidR="00474B25" w:rsidRDefault="00000000">
      <w:pPr>
        <w:pStyle w:val="1"/>
        <w:pageBreakBefore/>
        <w:spacing w:before="0"/>
      </w:pPr>
      <w:bookmarkStart w:id="1" w:name="Section_02"/>
      <w:bookmarkEnd w:id="1"/>
      <w:r>
        <w:lastRenderedPageBreak/>
        <w:t>Планирование: задача, аудитория, условия</w:t>
      </w:r>
    </w:p>
    <w:p w14:paraId="43C0CF43" w14:textId="77777777" w:rsidR="00474B25" w:rsidRDefault="00000000">
      <w:r>
        <w:t>Подготовку удобно начинать с одного предложения: «После выступления аудитория сможет…». Продолжение должно описывать понимание или обоснованное действие: различить варианты, оценить предложение, задать уточняющие вопросы. Формулировка «аудитория будет восхищена» не дает надежного основания для структуры и проверки результата.</w:t>
      </w:r>
    </w:p>
    <w:p w14:paraId="56DC1A06" w14:textId="77777777" w:rsidR="00474B25" w:rsidRDefault="00000000">
      <w:r>
        <w:t>Затем определяют исходные знания слушателей. Если они не знакомы с термином, требуется краткое объяснение. Если проблема уже известна, повторное длинное введение может занимать время, необходимое для обсуждения решения. Не следует угадывать уровень аудитории только по должности или возрасту: полезно уточнить задачу у организатора.</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474B25" w14:paraId="5FF6B546" w14:textId="77777777">
        <w:trPr>
          <w:cantSplit/>
          <w:tblHeader/>
          <w:jc w:val="center"/>
        </w:trPr>
        <w:tc>
          <w:tcPr>
            <w:tcW w:w="2272" w:type="dxa"/>
            <w:shd w:val="clear" w:color="auto" w:fill="19354A"/>
          </w:tcPr>
          <w:p w14:paraId="54DF4C78" w14:textId="77777777" w:rsidR="00474B25" w:rsidRDefault="00000000">
            <w:pPr>
              <w:pStyle w:val="LectureTable"/>
              <w:keepNext/>
              <w:spacing w:after="0"/>
            </w:pPr>
            <w:r>
              <w:rPr>
                <w:b/>
                <w:color w:val="FFFFFF"/>
              </w:rPr>
              <w:t>Вопрос подготовки</w:t>
            </w:r>
          </w:p>
        </w:tc>
        <w:tc>
          <w:tcPr>
            <w:tcW w:w="3030" w:type="dxa"/>
            <w:shd w:val="clear" w:color="auto" w:fill="19354A"/>
          </w:tcPr>
          <w:p w14:paraId="15856DD7" w14:textId="77777777" w:rsidR="00474B25" w:rsidRDefault="00000000">
            <w:pPr>
              <w:pStyle w:val="LectureTable"/>
              <w:keepNext/>
              <w:spacing w:after="0"/>
            </w:pPr>
            <w:r>
              <w:rPr>
                <w:b/>
                <w:color w:val="FFFFFF"/>
              </w:rPr>
              <w:t>Что фиксируется</w:t>
            </w:r>
          </w:p>
        </w:tc>
        <w:tc>
          <w:tcPr>
            <w:tcW w:w="4166" w:type="dxa"/>
            <w:shd w:val="clear" w:color="auto" w:fill="19354A"/>
          </w:tcPr>
          <w:p w14:paraId="3AD38734" w14:textId="77777777" w:rsidR="00474B25" w:rsidRDefault="00000000">
            <w:pPr>
              <w:pStyle w:val="LectureTable"/>
              <w:keepNext/>
              <w:spacing w:after="0"/>
            </w:pPr>
            <w:r>
              <w:rPr>
                <w:b/>
                <w:color w:val="FFFFFF"/>
              </w:rPr>
              <w:t>Пример учебного решения</w:t>
            </w:r>
          </w:p>
        </w:tc>
      </w:tr>
      <w:tr w:rsidR="00474B25" w14:paraId="00CC44D3" w14:textId="77777777">
        <w:trPr>
          <w:cantSplit/>
          <w:jc w:val="center"/>
        </w:trPr>
        <w:tc>
          <w:tcPr>
            <w:tcW w:w="2272" w:type="dxa"/>
            <w:shd w:val="clear" w:color="auto" w:fill="F0F4F6"/>
          </w:tcPr>
          <w:p w14:paraId="1695210A" w14:textId="77777777" w:rsidR="00474B25" w:rsidRDefault="00000000">
            <w:pPr>
              <w:pStyle w:val="LectureTable"/>
              <w:keepNext/>
              <w:spacing w:after="0"/>
            </w:pPr>
            <w:r>
              <w:t>Для кого?</w:t>
            </w:r>
          </w:p>
        </w:tc>
        <w:tc>
          <w:tcPr>
            <w:tcW w:w="3030" w:type="dxa"/>
            <w:shd w:val="clear" w:color="auto" w:fill="F0F4F6"/>
          </w:tcPr>
          <w:p w14:paraId="7221319B" w14:textId="77777777" w:rsidR="00474B25" w:rsidRDefault="00000000">
            <w:pPr>
              <w:pStyle w:val="LectureTable"/>
              <w:keepNext/>
              <w:spacing w:after="0"/>
            </w:pPr>
            <w:r>
              <w:t>Роль и информационная потребность</w:t>
            </w:r>
          </w:p>
        </w:tc>
        <w:tc>
          <w:tcPr>
            <w:tcW w:w="4166" w:type="dxa"/>
            <w:shd w:val="clear" w:color="auto" w:fill="F0F4F6"/>
          </w:tcPr>
          <w:p w14:paraId="7E78F141" w14:textId="77777777" w:rsidR="00474B25" w:rsidRDefault="00000000">
            <w:pPr>
              <w:pStyle w:val="LectureTable"/>
              <w:keepNext/>
              <w:spacing w:after="0"/>
            </w:pPr>
            <w:r>
              <w:t>Комиссии нужно понять личный вклад автора</w:t>
            </w:r>
          </w:p>
        </w:tc>
      </w:tr>
      <w:tr w:rsidR="00474B25" w14:paraId="46984939" w14:textId="77777777">
        <w:trPr>
          <w:cantSplit/>
          <w:jc w:val="center"/>
        </w:trPr>
        <w:tc>
          <w:tcPr>
            <w:tcW w:w="2272" w:type="dxa"/>
            <w:shd w:val="clear" w:color="auto" w:fill="FFFFFF"/>
          </w:tcPr>
          <w:p w14:paraId="37791005" w14:textId="77777777" w:rsidR="00474B25" w:rsidRDefault="00000000">
            <w:pPr>
              <w:pStyle w:val="LectureTable"/>
              <w:keepNext/>
              <w:spacing w:after="0"/>
            </w:pPr>
            <w:r>
              <w:t>Зачем?</w:t>
            </w:r>
          </w:p>
        </w:tc>
        <w:tc>
          <w:tcPr>
            <w:tcW w:w="3030" w:type="dxa"/>
            <w:shd w:val="clear" w:color="auto" w:fill="FFFFFF"/>
          </w:tcPr>
          <w:p w14:paraId="3A686097" w14:textId="77777777" w:rsidR="00474B25" w:rsidRDefault="00000000">
            <w:pPr>
              <w:pStyle w:val="LectureTable"/>
              <w:keepNext/>
              <w:spacing w:after="0"/>
            </w:pPr>
            <w:r>
              <w:t>Ожидаемый результат понимания</w:t>
            </w:r>
          </w:p>
        </w:tc>
        <w:tc>
          <w:tcPr>
            <w:tcW w:w="4166" w:type="dxa"/>
            <w:shd w:val="clear" w:color="auto" w:fill="FFFFFF"/>
          </w:tcPr>
          <w:p w14:paraId="514E5ED1" w14:textId="77777777" w:rsidR="00474B25" w:rsidRDefault="00000000">
            <w:pPr>
              <w:pStyle w:val="LectureTable"/>
              <w:keepNext/>
              <w:spacing w:after="0"/>
            </w:pPr>
            <w:r>
              <w:t>Различить полученные результаты и планы</w:t>
            </w:r>
          </w:p>
        </w:tc>
      </w:tr>
      <w:tr w:rsidR="00474B25" w14:paraId="127503CD" w14:textId="77777777">
        <w:trPr>
          <w:cantSplit/>
          <w:jc w:val="center"/>
        </w:trPr>
        <w:tc>
          <w:tcPr>
            <w:tcW w:w="2272" w:type="dxa"/>
            <w:shd w:val="clear" w:color="auto" w:fill="F0F4F6"/>
          </w:tcPr>
          <w:p w14:paraId="5B3DEC9E" w14:textId="77777777" w:rsidR="00474B25" w:rsidRDefault="00000000">
            <w:pPr>
              <w:pStyle w:val="LectureTable"/>
              <w:keepNext/>
              <w:spacing w:after="0"/>
            </w:pPr>
            <w:r>
              <w:t>В каких условиях?</w:t>
            </w:r>
          </w:p>
        </w:tc>
        <w:tc>
          <w:tcPr>
            <w:tcW w:w="3030" w:type="dxa"/>
            <w:shd w:val="clear" w:color="auto" w:fill="F0F4F6"/>
          </w:tcPr>
          <w:p w14:paraId="71AB4C3A" w14:textId="77777777" w:rsidR="00474B25" w:rsidRDefault="00000000">
            <w:pPr>
              <w:pStyle w:val="LectureTable"/>
              <w:keepNext/>
              <w:spacing w:after="0"/>
            </w:pPr>
            <w:r>
              <w:t>Время, формат, техника</w:t>
            </w:r>
          </w:p>
        </w:tc>
        <w:tc>
          <w:tcPr>
            <w:tcW w:w="4166" w:type="dxa"/>
            <w:shd w:val="clear" w:color="auto" w:fill="F0F4F6"/>
          </w:tcPr>
          <w:p w14:paraId="53983D50" w14:textId="77777777" w:rsidR="00474B25" w:rsidRDefault="00000000">
            <w:pPr>
              <w:pStyle w:val="LectureTable"/>
              <w:keepNext/>
              <w:spacing w:after="0"/>
            </w:pPr>
            <w:r>
              <w:t>Три минуты и два вопроса онлайн</w:t>
            </w:r>
          </w:p>
        </w:tc>
      </w:tr>
      <w:tr w:rsidR="00474B25" w14:paraId="35DAEA7A" w14:textId="77777777">
        <w:trPr>
          <w:cantSplit/>
          <w:jc w:val="center"/>
        </w:trPr>
        <w:tc>
          <w:tcPr>
            <w:tcW w:w="2272" w:type="dxa"/>
            <w:shd w:val="clear" w:color="auto" w:fill="FFFFFF"/>
          </w:tcPr>
          <w:p w14:paraId="2E1F8BDE" w14:textId="77777777" w:rsidR="00474B25" w:rsidRDefault="00000000">
            <w:pPr>
              <w:pStyle w:val="LectureTable"/>
              <w:spacing w:after="0"/>
            </w:pPr>
            <w:r>
              <w:t>На чем основано?</w:t>
            </w:r>
          </w:p>
        </w:tc>
        <w:tc>
          <w:tcPr>
            <w:tcW w:w="3030" w:type="dxa"/>
            <w:shd w:val="clear" w:color="auto" w:fill="FFFFFF"/>
          </w:tcPr>
          <w:p w14:paraId="0B458690" w14:textId="77777777" w:rsidR="00474B25" w:rsidRDefault="00000000">
            <w:pPr>
              <w:pStyle w:val="LectureTable"/>
              <w:spacing w:after="0"/>
            </w:pPr>
            <w:r>
              <w:t>Данные и ограничения</w:t>
            </w:r>
          </w:p>
        </w:tc>
        <w:tc>
          <w:tcPr>
            <w:tcW w:w="4166" w:type="dxa"/>
            <w:shd w:val="clear" w:color="auto" w:fill="FFFFFF"/>
          </w:tcPr>
          <w:p w14:paraId="0547FDA9" w14:textId="77777777" w:rsidR="00474B25" w:rsidRDefault="00000000">
            <w:pPr>
              <w:pStyle w:val="LectureTable"/>
              <w:spacing w:after="0"/>
            </w:pPr>
            <w:r>
              <w:t>Два проекта с доступными материалами</w:t>
            </w:r>
          </w:p>
        </w:tc>
      </w:tr>
    </w:tbl>
    <w:p w14:paraId="2A6218FF" w14:textId="77777777" w:rsidR="00474B25" w:rsidRDefault="00474B25">
      <w:pPr>
        <w:spacing w:after="0" w:line="120" w:lineRule="exact"/>
      </w:pPr>
    </w:p>
    <w:p w14:paraId="1065BDD7" w14:textId="77777777" w:rsidR="00474B25" w:rsidRDefault="00000000">
      <w:r>
        <w:t>Составьте основной тезис и два-три аргумента. Все остальное проверяйте на необходимость: помогает ли фрагмент ответить на главный вопрос? Интересная история, не связанная с задачей, может быть исключена без потери смысла.</w:t>
      </w:r>
    </w:p>
    <w:p w14:paraId="2A30945C" w14:textId="77777777" w:rsidR="00474B25" w:rsidRDefault="00000000">
      <w:r>
        <w:t>Заранее уточните порядок вопросов, наличие записи, возможность демонстрации экрана и резервный формат. Для короткого выступления полезно подготовить текстовый вариант, который сохраняет главный вывод при техническом сбое.</w:t>
      </w:r>
    </w:p>
    <w:p w14:paraId="24B84A31" w14:textId="77777777" w:rsidR="00474B25" w:rsidRDefault="00000000">
      <w:r>
        <w:t>Рабочий план не обязан совпадать с порядком подготовки. Иногда сначала собираются доказательства, затем уточняется тезис. Нельзя подгонять данные под заранее выбранное эффектное заключение.</w:t>
      </w:r>
    </w:p>
    <w:p w14:paraId="4D02F931" w14:textId="77777777" w:rsidR="00474B25" w:rsidRDefault="00000000">
      <w:pPr>
        <w:pStyle w:val="1"/>
        <w:pageBreakBefore/>
        <w:spacing w:before="0"/>
      </w:pPr>
      <w:bookmarkStart w:id="2" w:name="Section_03"/>
      <w:bookmarkEnd w:id="2"/>
      <w:r>
        <w:lastRenderedPageBreak/>
        <w:t>Архитектура выступления и переходы</w:t>
      </w:r>
    </w:p>
    <w:p w14:paraId="061E99E8" w14:textId="77777777" w:rsidR="00474B25" w:rsidRDefault="00000000">
      <w:r>
        <w:t>Один из удобных учебных вариантов структуры: проблема — тезис — основания — ограничение — вывод. Он подходит для защиты предложения, но не является единственно верным. Инструктаж может строиться по последовательности действий, а обзор — по сравниваемым вариантам и критериям.</w:t>
      </w:r>
    </w:p>
    <w:p w14:paraId="5F03093C" w14:textId="77777777" w:rsidR="00474B25" w:rsidRDefault="00000000">
      <w:r>
        <w:t>Во вступлении обозначают, какой вопрос будет решаться и почему он относится к аудитории. Вместо абстрактного «сегодня мы поговорим об имидже» можно сказать: «Рассмотрим, почему из нашего портфолио трудно понять специализацию автора и как это проверить». Такое начало задает предмет, а не обещает заранее доказанный эффект.</w:t>
      </w:r>
    </w:p>
    <w:p w14:paraId="1286263B" w14:textId="77777777" w:rsidR="00474B25" w:rsidRDefault="00000000">
      <w:pPr>
        <w:pStyle w:val="21"/>
      </w:pPr>
      <w:r>
        <w:t>Тезис и основания</w:t>
      </w:r>
    </w:p>
    <w:p w14:paraId="3F755A55" w14:textId="77777777" w:rsidR="00474B25" w:rsidRDefault="00000000">
      <w:r>
        <w:t>Тезис должен быть достаточно конкретным для обсуждения. «Коммуникации нужно улучшить» слишком широко. «На первой странице следует показать роль автора в каждом проекте» уже предполагает проверяемое решение. После тезиса объясняют, какие наблюдения к нему привели.</w:t>
      </w:r>
    </w:p>
    <w:p w14:paraId="141751DD" w14:textId="77777777" w:rsidR="00474B25" w:rsidRDefault="00000000">
      <w:r>
        <w:t>Переходы помогают слушателям ориентироваться: «Сначала покажу исходную проблему; затем объясню выбранное изменение; в конце — способ проверки». Они не заменяют содержание, но обозначают отношения между его частями.</w:t>
      </w:r>
    </w:p>
    <w:p w14:paraId="5DAC3CBD" w14:textId="77777777" w:rsidR="00474B25" w:rsidRDefault="00000000">
      <w:r>
        <w:t>Ограничение лучше включать рядом с соответствующим выводом. Если анализ основан на пяти интервью, это сообщается при представлении данных, а не прячется в конце презентации. Признание границ делает аргумент точнее, не отменяя его возможной практической полезности.</w:t>
      </w:r>
    </w:p>
    <w:p w14:paraId="33A2F401" w14:textId="77777777" w:rsidR="00474B25" w:rsidRDefault="00000000">
      <w:r>
        <w:t>В завершении возвращаются к исходному вопросу и формулируют следующий шаг. Не следует добавлять новый крупный аргумент в последней фразе: аудитория не получает времени его оценить. Итог может содержать решение, условия его принятия и вопрос, который пока остается открытым.</w:t>
      </w:r>
    </w:p>
    <w:p w14:paraId="0D779FEF" w14:textId="77777777" w:rsidR="00474B25" w:rsidRDefault="00000000">
      <w:r>
        <w:t>Проверьте структуру без слайдов: можно ли пересказать логику по пяти коротким предложениям? Если нет, проблема, вероятно, не только в оформлении.</w:t>
      </w:r>
    </w:p>
    <w:p w14:paraId="413F57EF" w14:textId="77777777" w:rsidR="00474B25" w:rsidRDefault="00000000">
      <w:pPr>
        <w:pStyle w:val="1"/>
        <w:pageBreakBefore/>
        <w:spacing w:before="0"/>
      </w:pPr>
      <w:bookmarkStart w:id="3" w:name="Section_04"/>
      <w:bookmarkEnd w:id="3"/>
      <w:r>
        <w:lastRenderedPageBreak/>
        <w:t>Доказательства, примеры и слайды</w:t>
      </w:r>
    </w:p>
    <w:p w14:paraId="361D49EF" w14:textId="77777777" w:rsidR="00474B25" w:rsidRDefault="00000000">
      <w:r>
        <w:t>Для публичного сообщения важно различать факт, расчет, интерпретацию и иллюстрацию. Факт требует источника или наблюдения; расчет — исходных значений и понятной операции; интерпретация — объяснения логики; иллюстрация помогает представить ситуацию, но не доказывает ее распространенность.</w:t>
      </w:r>
    </w:p>
    <w:p w14:paraId="1CAA3510" w14:textId="77777777" w:rsidR="00474B25" w:rsidRDefault="00000000">
      <w:r>
        <w:t>Учебный пример следует прямо обозначать как вымышленный. Нельзя оформлять придуманную историю клиента так, чтобы она воспринималась как реальный отзыв. Аналогично один удачный проект не доказывает, что тот же результат гарантирован любому заказчику.</w:t>
      </w:r>
    </w:p>
    <w:p w14:paraId="48C2551E" w14:textId="77777777" w:rsidR="00474B25" w:rsidRDefault="00000000">
      <w:pPr>
        <w:pStyle w:val="21"/>
      </w:pPr>
      <w:r>
        <w:t>Работа с числами</w:t>
      </w:r>
    </w:p>
    <w:p w14:paraId="6248437A" w14:textId="77777777" w:rsidR="00474B25" w:rsidRDefault="00000000">
      <w:r>
        <w:t>Сообщая процент, укажите, от какой совокупности он рассчитан. «Шесть из десяти участников учебной проверки» информативнее неопределенного «большинство людей». При сравнении назовите период, условия и ограничения сопоставимости. Не используйте точность до сотых, если она не нужна для смысла.</w:t>
      </w:r>
    </w:p>
    <w:p w14:paraId="09518886" w14:textId="77777777" w:rsidR="00474B25" w:rsidRDefault="00000000">
      <w:r>
        <w:t>Слайд должен поддерживать конкретный фрагмент сообщения. Заголовок «Результаты» можно заменить на содержательный: «Участники находили описание роли, но путали объем ответственности». Под ним помещаются данные, необходимые для проверки именно этого вывода.</w:t>
      </w:r>
    </w:p>
    <w:p w14:paraId="17EF310F" w14:textId="77777777" w:rsidR="00474B25" w:rsidRDefault="00000000">
      <w:r>
        <w:t>Доступность предполагает читаемые подписи, объяснение значимых изображений и текстовые альтернативы. Рекомендации W3C полезны для подготовки понятных заголовков и сопроводительных текстов [3]. Само наличие красивой презентации не гарантирует доступности выступления.</w:t>
      </w:r>
    </w:p>
    <w:p w14:paraId="4E39BEA7" w14:textId="77777777" w:rsidR="00474B25" w:rsidRDefault="00000000">
      <w:r>
        <w:t>Не зачитывайте длинный слайд как единственный канал сообщения. Объясняйте, куда смотреть и что означает показанный элемент. Если таблица слишком подробна для выступления, вынесите ее в приложение, сохранив в основной части вывод и ключевые значения.</w:t>
      </w:r>
    </w:p>
    <w:p w14:paraId="1853DAF9" w14:textId="77777777" w:rsidR="00474B25"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Ссылка на источник не заменяет объяснение. Аудитории нужно понять не только происхождение числа, но и почему оно относится к обсуждаемому вопросу.</w:t>
      </w:r>
    </w:p>
    <w:p w14:paraId="64042ED0" w14:textId="77777777" w:rsidR="00474B25" w:rsidRDefault="00000000">
      <w:pPr>
        <w:pStyle w:val="1"/>
        <w:pageBreakBefore/>
        <w:spacing w:before="0"/>
      </w:pPr>
      <w:bookmarkStart w:id="4" w:name="Section_05"/>
      <w:bookmarkEnd w:id="4"/>
      <w:r>
        <w:lastRenderedPageBreak/>
        <w:t>Репетиция и управление выступлением</w:t>
      </w:r>
    </w:p>
    <w:p w14:paraId="0F84CFC9" w14:textId="77777777" w:rsidR="00474B25" w:rsidRDefault="00000000">
      <w:r>
        <w:t>Репетиция — проверка содержания и условий, а не только запоминание текста. Первый прогон выявляет логические провалы; второй позволяет проверить длительность; следующий — переходы, материалы и ответы. Количество повторений определяется задачей, а не обязательным нормативом.</w:t>
      </w:r>
    </w:p>
    <w:p w14:paraId="75240CE9" w14:textId="77777777" w:rsidR="00474B25" w:rsidRDefault="00000000">
      <w:r>
        <w:t>Вместо требования выучить каждое слово полезно подготовить опорную карту: основной вопрос, последовательность аргументов, важные числа и заключение. Точные формулировки нужны там, где ошибка меняет смысл: в определении, существенном ограничении или согласованном публичном заявлении.</w:t>
      </w:r>
    </w:p>
    <w:p w14:paraId="03103E02" w14:textId="77777777" w:rsidR="00474B25" w:rsidRDefault="00000000">
      <w:pPr>
        <w:pStyle w:val="21"/>
      </w:pPr>
      <w:r>
        <w:t>Что наблюдать при просмотре записи</w:t>
      </w:r>
    </w:p>
    <w:p w14:paraId="212793D7" w14:textId="77777777" w:rsidR="00474B25" w:rsidRDefault="00000000">
      <w:r>
        <w:t>Оцените, где теряется мысль, какой пример требует пояснения и какие фрагменты повторяются. Фиксируйте время конкретного эпизода и предлагаемое изменение. Общая оценка «говорю недостаточно красиво» не показывает, что нужно исправить.</w:t>
      </w:r>
    </w:p>
    <w:p w14:paraId="065F7308" w14:textId="77777777" w:rsidR="00474B25" w:rsidRDefault="00000000">
      <w:r>
        <w:t>При сокращении времени сначала сохраняют тезис, основные основания и ограничения. Дополнительные истории и второстепенные детали могут быть перенесены в ответы. Нельзя убирать оговорку, превращая условный результат в гарантию.</w:t>
      </w:r>
    </w:p>
    <w:p w14:paraId="16CCAECF" w14:textId="77777777" w:rsidR="00474B25" w:rsidRDefault="00000000">
      <w:r>
        <w:t>Для дистанционного выступления подготовьте резерв: локальную копию слайдов, краткий текст и способ передать материалы. Проверьте, виден ли нужный экран и не раскрываются ли уведомления или чужие данные. Организационная аккуратность относится к качеству выступления, а не к оценке личности.</w:t>
      </w:r>
    </w:p>
    <w:p w14:paraId="455AF7D1" w14:textId="77777777" w:rsidR="00474B25" w:rsidRDefault="00000000">
      <w:r>
        <w:t>Умеренное волнение можно обсуждать как обычную трудность учебной ситуации без постановки диагнозов. Практическая задача — заранее прояснить порядок, проверить технику и потренировать начало. Курс не подменяет профессиональную помощь при выраженных затруднениях.</w:t>
      </w:r>
    </w:p>
    <w:p w14:paraId="4DE1E4BE" w14:textId="77777777" w:rsidR="00474B25" w:rsidRDefault="00000000">
      <w:r>
        <w:t>После репетиции выберите несколько наиболее важных правок. Одновременная попытка контролировать каждое движение способна отвлечь от смысла; критерий успешности — понятность сообщения и выполнение задачи.</w:t>
      </w:r>
    </w:p>
    <w:p w14:paraId="6E11225D" w14:textId="77777777" w:rsidR="00474B25" w:rsidRDefault="00000000">
      <w:pPr>
        <w:pStyle w:val="1"/>
        <w:pageBreakBefore/>
        <w:spacing w:before="0"/>
      </w:pPr>
      <w:bookmarkStart w:id="5" w:name="Section_06"/>
      <w:bookmarkEnd w:id="5"/>
      <w:r>
        <w:lastRenderedPageBreak/>
        <w:t>Ответы на вопросы и работа с возражениями</w:t>
      </w:r>
    </w:p>
    <w:p w14:paraId="226045B8" w14:textId="77777777" w:rsidR="00474B25" w:rsidRDefault="00000000">
      <w:r>
        <w:t>Вопрос может запрашивать факт, проверять предположение, оспаривать вывод или уточнять последствия. Прежде чем отвечать, определите, что именно требуется. Если в одной реплике несколько вопросов, предложите рассмотреть их последовательно.</w:t>
      </w:r>
    </w:p>
    <w:p w14:paraId="625F681A" w14:textId="77777777" w:rsidR="00474B25" w:rsidRDefault="00000000">
      <w:r>
        <w:t>Учебная схема ответа: понять вопрос — дать прямой ответ — привести основание — обозначить ограничение. Например: «Нет, мы пока не установили влияние изменения на трудоустройство. Проверялось только понимание специализации. Для более широкого вывода потребуются другие данные».</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474B25" w14:paraId="5C4914CC" w14:textId="77777777">
        <w:trPr>
          <w:cantSplit/>
          <w:tblHeader/>
          <w:jc w:val="center"/>
        </w:trPr>
        <w:tc>
          <w:tcPr>
            <w:tcW w:w="2272" w:type="dxa"/>
            <w:shd w:val="clear" w:color="auto" w:fill="19354A"/>
          </w:tcPr>
          <w:p w14:paraId="0129997F" w14:textId="77777777" w:rsidR="00474B25" w:rsidRDefault="00000000">
            <w:pPr>
              <w:pStyle w:val="LectureTable"/>
              <w:keepNext/>
              <w:spacing w:after="0"/>
            </w:pPr>
            <w:r>
              <w:rPr>
                <w:b/>
                <w:color w:val="FFFFFF"/>
              </w:rPr>
              <w:t>Ситуация</w:t>
            </w:r>
          </w:p>
        </w:tc>
        <w:tc>
          <w:tcPr>
            <w:tcW w:w="3030" w:type="dxa"/>
            <w:shd w:val="clear" w:color="auto" w:fill="19354A"/>
          </w:tcPr>
          <w:p w14:paraId="33F24DC4" w14:textId="77777777" w:rsidR="00474B25" w:rsidRDefault="00000000">
            <w:pPr>
              <w:pStyle w:val="LectureTable"/>
              <w:keepNext/>
              <w:spacing w:after="0"/>
            </w:pPr>
            <w:r>
              <w:rPr>
                <w:b/>
                <w:color w:val="FFFFFF"/>
              </w:rPr>
              <w:t>Корректная реакция</w:t>
            </w:r>
          </w:p>
        </w:tc>
        <w:tc>
          <w:tcPr>
            <w:tcW w:w="4166" w:type="dxa"/>
            <w:shd w:val="clear" w:color="auto" w:fill="19354A"/>
          </w:tcPr>
          <w:p w14:paraId="719E2D9F" w14:textId="77777777" w:rsidR="00474B25" w:rsidRDefault="00000000">
            <w:pPr>
              <w:pStyle w:val="LectureTable"/>
              <w:keepNext/>
              <w:spacing w:after="0"/>
            </w:pPr>
            <w:r>
              <w:rPr>
                <w:b/>
                <w:color w:val="FFFFFF"/>
              </w:rPr>
              <w:t>Чего избегать</w:t>
            </w:r>
          </w:p>
        </w:tc>
      </w:tr>
      <w:tr w:rsidR="00474B25" w14:paraId="16E24CE6" w14:textId="77777777">
        <w:trPr>
          <w:cantSplit/>
          <w:jc w:val="center"/>
        </w:trPr>
        <w:tc>
          <w:tcPr>
            <w:tcW w:w="2272" w:type="dxa"/>
            <w:shd w:val="clear" w:color="auto" w:fill="F0F4F6"/>
          </w:tcPr>
          <w:p w14:paraId="7AAFCB38" w14:textId="77777777" w:rsidR="00474B25" w:rsidRDefault="00000000">
            <w:pPr>
              <w:pStyle w:val="LectureTable"/>
              <w:keepNext/>
              <w:spacing w:after="0"/>
            </w:pPr>
            <w:r>
              <w:t>Вопрос неоднозначен</w:t>
            </w:r>
          </w:p>
        </w:tc>
        <w:tc>
          <w:tcPr>
            <w:tcW w:w="3030" w:type="dxa"/>
            <w:shd w:val="clear" w:color="auto" w:fill="F0F4F6"/>
          </w:tcPr>
          <w:p w14:paraId="45141FE0" w14:textId="77777777" w:rsidR="00474B25" w:rsidRDefault="00000000">
            <w:pPr>
              <w:pStyle w:val="LectureTable"/>
              <w:keepNext/>
              <w:spacing w:after="0"/>
            </w:pPr>
            <w:r>
              <w:t>Уточнить предмет и период</w:t>
            </w:r>
          </w:p>
        </w:tc>
        <w:tc>
          <w:tcPr>
            <w:tcW w:w="4166" w:type="dxa"/>
            <w:shd w:val="clear" w:color="auto" w:fill="F0F4F6"/>
          </w:tcPr>
          <w:p w14:paraId="3017AA05" w14:textId="77777777" w:rsidR="00474B25" w:rsidRDefault="00000000">
            <w:pPr>
              <w:pStyle w:val="LectureTable"/>
              <w:keepNext/>
              <w:spacing w:after="0"/>
            </w:pPr>
            <w:r>
              <w:t>Отвечать на удобный, но другой вопрос</w:t>
            </w:r>
          </w:p>
        </w:tc>
      </w:tr>
      <w:tr w:rsidR="00474B25" w14:paraId="513C162A" w14:textId="77777777">
        <w:trPr>
          <w:cantSplit/>
          <w:jc w:val="center"/>
        </w:trPr>
        <w:tc>
          <w:tcPr>
            <w:tcW w:w="2272" w:type="dxa"/>
            <w:shd w:val="clear" w:color="auto" w:fill="FFFFFF"/>
          </w:tcPr>
          <w:p w14:paraId="02ACC72F" w14:textId="77777777" w:rsidR="00474B25" w:rsidRDefault="00000000">
            <w:pPr>
              <w:pStyle w:val="LectureTable"/>
              <w:keepNext/>
              <w:spacing w:after="0"/>
            </w:pPr>
            <w:r>
              <w:t>Данных нет</w:t>
            </w:r>
          </w:p>
        </w:tc>
        <w:tc>
          <w:tcPr>
            <w:tcW w:w="3030" w:type="dxa"/>
            <w:shd w:val="clear" w:color="auto" w:fill="FFFFFF"/>
          </w:tcPr>
          <w:p w14:paraId="39620F52" w14:textId="77777777" w:rsidR="00474B25" w:rsidRDefault="00000000">
            <w:pPr>
              <w:pStyle w:val="LectureTable"/>
              <w:keepNext/>
              <w:spacing w:after="0"/>
            </w:pPr>
            <w:r>
              <w:t>Прямо обозначить отсутствие</w:t>
            </w:r>
          </w:p>
        </w:tc>
        <w:tc>
          <w:tcPr>
            <w:tcW w:w="4166" w:type="dxa"/>
            <w:shd w:val="clear" w:color="auto" w:fill="FFFFFF"/>
          </w:tcPr>
          <w:p w14:paraId="01F28DF1" w14:textId="77777777" w:rsidR="00474B25" w:rsidRDefault="00000000">
            <w:pPr>
              <w:pStyle w:val="LectureTable"/>
              <w:keepNext/>
              <w:spacing w:after="0"/>
            </w:pPr>
            <w:r>
              <w:t>Выдумывать число ради уверенности</w:t>
            </w:r>
          </w:p>
        </w:tc>
      </w:tr>
      <w:tr w:rsidR="00474B25" w14:paraId="76FA959F" w14:textId="77777777">
        <w:trPr>
          <w:cantSplit/>
          <w:jc w:val="center"/>
        </w:trPr>
        <w:tc>
          <w:tcPr>
            <w:tcW w:w="2272" w:type="dxa"/>
            <w:shd w:val="clear" w:color="auto" w:fill="F0F4F6"/>
          </w:tcPr>
          <w:p w14:paraId="092B2B45" w14:textId="77777777" w:rsidR="00474B25" w:rsidRDefault="00000000">
            <w:pPr>
              <w:pStyle w:val="LectureTable"/>
              <w:keepNext/>
              <w:spacing w:after="0"/>
            </w:pPr>
            <w:r>
              <w:t>Найдена ошибка</w:t>
            </w:r>
          </w:p>
        </w:tc>
        <w:tc>
          <w:tcPr>
            <w:tcW w:w="3030" w:type="dxa"/>
            <w:shd w:val="clear" w:color="auto" w:fill="F0F4F6"/>
          </w:tcPr>
          <w:p w14:paraId="5827B0A9" w14:textId="77777777" w:rsidR="00474B25" w:rsidRDefault="00000000">
            <w:pPr>
              <w:pStyle w:val="LectureTable"/>
              <w:keepNext/>
              <w:spacing w:after="0"/>
            </w:pPr>
            <w:r>
              <w:t>Признать и исправить</w:t>
            </w:r>
          </w:p>
        </w:tc>
        <w:tc>
          <w:tcPr>
            <w:tcW w:w="4166" w:type="dxa"/>
            <w:shd w:val="clear" w:color="auto" w:fill="F0F4F6"/>
          </w:tcPr>
          <w:p w14:paraId="05B11EE3" w14:textId="77777777" w:rsidR="00474B25" w:rsidRDefault="00000000">
            <w:pPr>
              <w:pStyle w:val="LectureTable"/>
              <w:keepNext/>
              <w:spacing w:after="0"/>
            </w:pPr>
            <w:r>
              <w:t>Защищать неверный тезис любой ценой</w:t>
            </w:r>
          </w:p>
        </w:tc>
      </w:tr>
      <w:tr w:rsidR="00474B25" w14:paraId="75A43F62" w14:textId="77777777">
        <w:trPr>
          <w:cantSplit/>
          <w:jc w:val="center"/>
        </w:trPr>
        <w:tc>
          <w:tcPr>
            <w:tcW w:w="2272" w:type="dxa"/>
            <w:shd w:val="clear" w:color="auto" w:fill="FFFFFF"/>
          </w:tcPr>
          <w:p w14:paraId="064AE695" w14:textId="77777777" w:rsidR="00474B25" w:rsidRDefault="00000000">
            <w:pPr>
              <w:pStyle w:val="LectureTable"/>
              <w:spacing w:after="0"/>
            </w:pPr>
            <w:r>
              <w:t>Смешаны факты и оценки</w:t>
            </w:r>
          </w:p>
        </w:tc>
        <w:tc>
          <w:tcPr>
            <w:tcW w:w="3030" w:type="dxa"/>
            <w:shd w:val="clear" w:color="auto" w:fill="FFFFFF"/>
          </w:tcPr>
          <w:p w14:paraId="027C9250" w14:textId="77777777" w:rsidR="00474B25" w:rsidRDefault="00000000">
            <w:pPr>
              <w:pStyle w:val="LectureTable"/>
              <w:spacing w:after="0"/>
            </w:pPr>
            <w:r>
              <w:t>Разделить части вопроса</w:t>
            </w:r>
          </w:p>
        </w:tc>
        <w:tc>
          <w:tcPr>
            <w:tcW w:w="4166" w:type="dxa"/>
            <w:shd w:val="clear" w:color="auto" w:fill="FFFFFF"/>
          </w:tcPr>
          <w:p w14:paraId="0005B2AD" w14:textId="77777777" w:rsidR="00474B25" w:rsidRDefault="00000000">
            <w:pPr>
              <w:pStyle w:val="LectureTable"/>
              <w:spacing w:after="0"/>
            </w:pPr>
            <w:r>
              <w:t>Приписывать спрашивающему мотив</w:t>
            </w:r>
          </w:p>
        </w:tc>
      </w:tr>
    </w:tbl>
    <w:p w14:paraId="39208DB4" w14:textId="77777777" w:rsidR="00474B25" w:rsidRDefault="00474B25">
      <w:pPr>
        <w:spacing w:after="0" w:line="120" w:lineRule="exact"/>
      </w:pPr>
    </w:p>
    <w:p w14:paraId="30E90C3B" w14:textId="77777777" w:rsidR="00474B25" w:rsidRDefault="00000000">
      <w:r>
        <w:t>Возражение не обязательно является нападением. Оно может обнаруживать пропущенное условие. Ответ «спасибо за вопрос» уместен, но не должен становиться заменой содержательной реакции. При несогласии объясните, с какой частью вы согласны, а какой вывод считаете недостаточно обоснованным.</w:t>
      </w:r>
    </w:p>
    <w:p w14:paraId="7787051A" w14:textId="77777777" w:rsidR="00474B25" w:rsidRDefault="00000000">
      <w:r>
        <w:t>Если вопрос выходит за пределы компетенции, обозначьте это. Направление к профильному специалисту лучше неподтвержденной экспертной оценки. При обещании дополнительного ответа согласуйте предмет и способ передачи информации, а затем выполните договоренность.</w:t>
      </w:r>
    </w:p>
    <w:p w14:paraId="11DBB634" w14:textId="77777777" w:rsidR="00474B25" w:rsidRDefault="00000000">
      <w:r>
        <w:t>Завершая ответ, можно проверить: «Это проясняет различие между результатом теста и прогнозом?» Такая проверка возвращает разговор к пониманию, а не к демонстрации превосходства докладчика.</w:t>
      </w:r>
    </w:p>
    <w:p w14:paraId="34E990D4" w14:textId="77777777" w:rsidR="00474B25" w:rsidRDefault="00000000">
      <w:pPr>
        <w:pStyle w:val="1"/>
        <w:pageBreakBefore/>
        <w:spacing w:before="0"/>
      </w:pPr>
      <w:bookmarkStart w:id="6" w:name="Section_07"/>
      <w:bookmarkEnd w:id="6"/>
      <w:r>
        <w:lastRenderedPageBreak/>
        <w:t>Интервью и экспертный комментарий</w:t>
      </w:r>
    </w:p>
    <w:p w14:paraId="7F65E7BC" w14:textId="77777777" w:rsidR="00474B25" w:rsidRDefault="00000000">
      <w:r>
        <w:t>Подготовка к интервью начинается с уточнения темы, формата, аудитории, длительности и предполагаемого использования материала. Обсудите, будет ли разговор записан, какие данные можно раскрывать и как будут обозначены роль и организация собеседника. Возможность согласования цитат нельзя считать автоматической: порядок уточняется заранее.</w:t>
      </w:r>
    </w:p>
    <w:p w14:paraId="03780585" w14:textId="77777777" w:rsidR="00474B25" w:rsidRDefault="00000000">
      <w:r>
        <w:t>Экспертный комментарий требует особенно четких границ. Опыт в одной области не дает оснований уверенно оценивать любую соседнюю тему. Перед разговором подготовьте проверенные сведения, определения и перечень вопросов, на которые пока нет ответа.</w:t>
      </w:r>
    </w:p>
    <w:p w14:paraId="2E787A49" w14:textId="77777777" w:rsidR="00474B25" w:rsidRDefault="00000000">
      <w:pPr>
        <w:pStyle w:val="21"/>
      </w:pPr>
      <w:r>
        <w:t>Карточка спикера</w:t>
      </w:r>
    </w:p>
    <w:p w14:paraId="5EF81A7C" w14:textId="77777777" w:rsidR="00474B25" w:rsidRDefault="00000000">
      <w:r>
        <w:t>В учебном варианте карточка содержит профессиональную роль, краткую биографию, три основных сообщения, источники значимых фактов и контакт для уточнений. Это рабочий материал, а не набор заученных фраз для ухода от неудобных вопросов.</w:t>
      </w:r>
    </w:p>
    <w:p w14:paraId="6F1CEA53" w14:textId="77777777" w:rsidR="00474B25" w:rsidRDefault="00000000">
      <w:r>
        <w:t>Разделы руководства CDC CERC о спикере и взаимодействии с медиа предназначены для кризисов и чрезвычайных ситуаций [2]. В обычном учебном интервью можно обсуждать отдельные принципы подготовки, но нельзя автоматически переносить весь протокол чрезвычайного реагирования.</w:t>
      </w:r>
    </w:p>
    <w:p w14:paraId="435665D7" w14:textId="77777777" w:rsidR="00474B25" w:rsidRDefault="00000000">
      <w:r>
        <w:t>Отвечайте понятным языком, раскрывайте сокращения и отделяйте установленные сведения от предположений. Фраза «по имеющимся данным» полезна только вместе с объяснением, какие именно данные имеются и чего они не позволяют заключить.</w:t>
      </w:r>
    </w:p>
    <w:p w14:paraId="648DD453" w14:textId="77777777" w:rsidR="00474B25" w:rsidRDefault="00000000">
      <w:r>
        <w:t>Если после интервью обнаружена фактическая ошибка, подготовьте точное исправление с подтверждением. Спор о формулировке не следует превращать в публичную оценку личности журналиста. Сохраняйте исходные документы и согласования, необходимые для проверки обстоятельств.</w:t>
      </w:r>
    </w:p>
    <w:p w14:paraId="30177195" w14:textId="77777777" w:rsidR="00474B25" w:rsidRDefault="00000000">
      <w:r>
        <w:t>Публичный комментарий не обязан охватывать все стороны темы. Его качество определяется соответствием вопросу, точностью и прозрачностью ограничений, а не максимальным количеством заявлений.</w:t>
      </w:r>
    </w:p>
    <w:p w14:paraId="0E6D3D85" w14:textId="77777777" w:rsidR="00474B25" w:rsidRDefault="00000000">
      <w:pPr>
        <w:pStyle w:val="1"/>
        <w:pageBreakBefore/>
        <w:spacing w:before="0"/>
      </w:pPr>
      <w:bookmarkStart w:id="7" w:name="Section_08"/>
      <w:bookmarkEnd w:id="7"/>
      <w:r>
        <w:lastRenderedPageBreak/>
        <w:t>Учебный кейс: эффектная защита без оснований</w:t>
      </w:r>
    </w:p>
    <w:p w14:paraId="0FDDC95F" w14:textId="77777777" w:rsidR="00474B25" w:rsidRDefault="00000000">
      <w:r>
        <w:t>Кейс вымышленный. Студент представляет переработанное портфолио и сообщает: «Новая версия гарантированно повышает шансы на стажировку вдвое». На слайде показаны яркие изображения, но нет данных о приглашениях или трудоустройстве. В действительности автор проверил материалы на шести однокурсниках: четверо смогли назвать его специализацию.</w:t>
      </w:r>
    </w:p>
    <w:p w14:paraId="4A8301E0" w14:textId="77777777" w:rsidR="00474B25" w:rsidRDefault="00000000">
      <w:pPr>
        <w:pStyle w:val="21"/>
      </w:pPr>
      <w:r>
        <w:t>Где возникла ошибка</w:t>
      </w:r>
    </w:p>
    <w:p w14:paraId="1EEBC957" w14:textId="77777777" w:rsidR="00474B25" w:rsidRDefault="00000000">
      <w:r>
        <w:t>Проверялось понимание специализации, а заявлено изменение карьерного результата. Для слова «вдвое» отсутствует исходный показатель и сопоставимый итоговый замер. Отдельная визуальная оценка также не подтверждает вероятность приглашения на стажировку.</w:t>
      </w:r>
    </w:p>
    <w:p w14:paraId="5697D5B6" w14:textId="77777777" w:rsidR="00474B25" w:rsidRDefault="00000000">
      <w:r>
        <w:t>Корректная версия: «В учебной проверке четыре из шести участников верно определили специализацию по новой версии. Исходная версия по тому же заданию не тестировалась, поэтому изменение пока не установлено. Следующий шаг — сопоставимое сравнение двух вариантов».</w:t>
      </w:r>
    </w:p>
    <w:p w14:paraId="19EE8F6C" w14:textId="77777777" w:rsidR="00474B25" w:rsidRDefault="00000000">
      <w:pPr>
        <w:pStyle w:val="21"/>
      </w:pPr>
      <w:r>
        <w:t>Исправленная логика выступления</w:t>
      </w:r>
    </w:p>
    <w:p w14:paraId="7000CFB7" w14:textId="77777777" w:rsidR="00474B25" w:rsidRDefault="00000000">
      <w:r>
        <w:t>Сначала автор показывает проблему исходного портфолио: роль в проектах не обозначена. Затем объясняет решение: на первой странице добавлены специализация и личный вклад. После этого представляет ограниченные результаты проверки и план дальнейшего тестирования.</w:t>
      </w:r>
    </w:p>
    <w:p w14:paraId="6A2D8322" w14:textId="77777777" w:rsidR="00474B25" w:rsidRDefault="00000000">
      <w:r>
        <w:t>На вопрос «Почему вы считаете новую версию лучше?» ответ должен разделить дизайнерское обоснование и эмпирический вывод: «Она яснее структурирована по выбранным критериям, но превосходство по пониманию аудитории еще нужно проверить».</w:t>
      </w:r>
    </w:p>
    <w:p w14:paraId="6F0C9FAB" w14:textId="77777777" w:rsidR="00474B25" w:rsidRDefault="00000000">
      <w:r>
        <w:t>Кейс не требует отказаться от презентации результата. Он требует назвать результат точно. Проект может быть полезным даже без доказанного влияния на трудоустройство, если ясно показаны выполненная работа, основания решений и следующий исследовательский шаг.</w:t>
      </w:r>
    </w:p>
    <w:p w14:paraId="525647AD" w14:textId="77777777" w:rsidR="00474B25" w:rsidRDefault="00000000">
      <w:r>
        <w:t>Для обсуждения: какие дополнительные данные нужны, чтобы сравнить понимание двух версий? Почему простого увеличения числа просмотров недостаточно для вывода о карьерных шансах?</w:t>
      </w:r>
    </w:p>
    <w:p w14:paraId="530888B2" w14:textId="77777777" w:rsidR="00474B25" w:rsidRDefault="00000000">
      <w:pPr>
        <w:pStyle w:val="1"/>
        <w:pageBreakBefore/>
        <w:spacing w:before="0"/>
      </w:pPr>
      <w:bookmarkStart w:id="8" w:name="Section_09"/>
      <w:bookmarkEnd w:id="8"/>
      <w:r>
        <w:lastRenderedPageBreak/>
        <w:t>Самостоятельная работа: выступление и ответы</w:t>
      </w:r>
    </w:p>
    <w:p w14:paraId="0970EE22" w14:textId="77777777" w:rsidR="00474B25" w:rsidRDefault="00000000">
      <w:r>
        <w:t>Подготовьте трехминутное выступление о своем имиджевом проекте. Аудитория — учебная комиссия, которая должна понять проблему, обоснование решения и способ проверки. Разрешается использовать до пяти слайдов; количество является условием задания, а не универсальной нормой.</w:t>
      </w:r>
    </w:p>
    <w:p w14:paraId="4C6C3D2E" w14:textId="77777777" w:rsidR="00474B25" w:rsidRDefault="00000000">
      <w:r>
        <w:t>Структура: исходная ситуация, один главный вывод, два основания, существенное ограничение и следующий шаг. В материалах должно быть видно, какие сведения получены самостоятельно, какие взяты из источников, а какие являются вымышленной иллюстрацией.</w:t>
      </w:r>
    </w:p>
    <w:p w14:paraId="6F73FBB4" w14:textId="77777777" w:rsidR="00474B25" w:rsidRDefault="00000000">
      <w:pPr>
        <w:pStyle w:val="21"/>
      </w:pPr>
      <w:r>
        <w:t>Комплект для сдачи</w:t>
      </w:r>
    </w:p>
    <w:p w14:paraId="4F8C1B1B" w14:textId="77777777" w:rsidR="00474B25" w:rsidRDefault="00000000">
      <w:r>
        <w:t>Представьте запись или согласованный альтернативный формат, текстовый план, слайды и ответы на три вопроса. Один вопрос должен проверять доказательность, второй — реалистичность решения, третий — ограничения. В асинхронном формате вопросы размещаются на учебном форуме.</w:t>
      </w:r>
    </w:p>
    <w:p w14:paraId="4CF8B83E" w14:textId="77777777" w:rsidR="00474B25" w:rsidRDefault="00000000">
      <w:r>
        <w:t>Попросите двух участников коротко пересказать главный вывод своими словами. Используйте ответы для исправления непонятного фрагмента, не выдавая такую проверку за исследование всей целевой аудитории. Зафиксируйте первоначальную и обновленную формулировки.</w:t>
      </w:r>
    </w:p>
    <w:p w14:paraId="7CC10FC4" w14:textId="77777777" w:rsidR="00474B25" w:rsidRDefault="00000000">
      <w:r>
        <w:t>Оценивание: логика и соответствие аудитории — 2 балла; качество оснований — 3; понятность материалов — 2; ответы и признание ограничений — 2; этическая корректность — 1. Максимум — 10 баллов. Акцент, внешность и индивидуальная манера движения не являются самостоятельными критериями оценки.</w:t>
      </w:r>
    </w:p>
    <w:p w14:paraId="1586CBF7" w14:textId="77777777" w:rsidR="00474B25" w:rsidRDefault="00000000">
      <w:r>
        <w:t>В самоанализе объемом 400–600 слов объясните три изменения после репетиции. Для каждого укажите исходную трудность, внесенную правку и наблюдение, по которому можно проверить улучшение. Не ограничивайтесь общей оценкой «стал выступать увереннее».</w:t>
      </w:r>
    </w:p>
    <w:p w14:paraId="6F4B7CA6" w14:textId="77777777" w:rsidR="00474B25" w:rsidRDefault="00000000">
      <w:pPr>
        <w:pStyle w:val="1"/>
        <w:pageBreakBefore/>
        <w:spacing w:before="0"/>
      </w:pPr>
      <w:bookmarkStart w:id="9" w:name="Section_10"/>
      <w:bookmarkEnd w:id="9"/>
      <w:r>
        <w:lastRenderedPageBreak/>
        <w:t>Самопроверка и источники</w:t>
      </w:r>
    </w:p>
    <w:p w14:paraId="3DF9D5CE" w14:textId="77777777" w:rsidR="00474B25" w:rsidRDefault="00000000">
      <w:pPr>
        <w:pStyle w:val="21"/>
      </w:pPr>
      <w:r>
        <w:t>Вопросы</w:t>
      </w:r>
    </w:p>
    <w:p w14:paraId="348C1016" w14:textId="77777777" w:rsidR="00474B25" w:rsidRDefault="00000000">
      <w:r>
        <w:t>1. Чем тезис отличается от примера? 2. Что необходимо сообщить вместе с процентом? 3. Как ответить при отсутствии данных? 4. Можно ли считать согласование цитат автоматическим условием интервью? 5. Что проверяет пересказ слушателем главной мысли?</w:t>
      </w:r>
    </w:p>
    <w:p w14:paraId="7C51E412" w14:textId="77777777" w:rsidR="00474B25" w:rsidRDefault="00000000">
      <w:pPr>
        <w:pStyle w:val="21"/>
      </w:pPr>
      <w:r>
        <w:t>Ответы-ориентиры</w:t>
      </w:r>
    </w:p>
    <w:p w14:paraId="6CA77CB3" w14:textId="77777777" w:rsidR="00474B25" w:rsidRDefault="00000000">
      <w:r>
        <w:t>Тезис выражает положение, а пример иллюстрирует его и не всегда доказывает. Процент требует знаменателя и контекста. При отсутствии данных это обозначают прямо. Порядок работы с цитатами уточняют заранее. Пересказ помогает проверить понимание сообщения конкретным участником, но не доказывает изменение репутации всей аудитории.</w:t>
      </w:r>
    </w:p>
    <w:p w14:paraId="7067CA19" w14:textId="77777777" w:rsidR="00474B25" w:rsidRDefault="00000000">
      <w:pPr>
        <w:pStyle w:val="21"/>
      </w:pPr>
      <w:r>
        <w:t>Итог и термины</w:t>
      </w:r>
    </w:p>
    <w:p w14:paraId="58C110A6" w14:textId="77777777" w:rsidR="00474B25" w:rsidRDefault="00000000">
      <w:r>
        <w:t>Тезис — основное утверждение; аргумент — основание его принятия; экспертный комментарий — ответ в пределах компетенции; карточка спикера — рабочий комплект проверенных сведений; ограничение — условие, сужающее допустимый вывод.</w:t>
      </w:r>
    </w:p>
    <w:p w14:paraId="01A89BFB" w14:textId="77777777" w:rsidR="00474B25" w:rsidRDefault="00000000">
      <w:r>
        <w:t>Публичный имидж поддерживается согласованностью содержания, поведения и ответов. Подготовка должна обеспечивать точность и понятность, а не только впечатление уверенности.</w:t>
      </w:r>
    </w:p>
    <w:p w14:paraId="3C74A056" w14:textId="77777777" w:rsidR="00474B25" w:rsidRDefault="00000000">
      <w:pPr>
        <w:pStyle w:val="21"/>
      </w:pPr>
      <w:r>
        <w:t>Источники и дальнейшее чтение</w:t>
      </w:r>
    </w:p>
    <w:p w14:paraId="6137C6E7" w14:textId="77777777" w:rsidR="00474B25" w:rsidRPr="00AC7000" w:rsidRDefault="00000000">
      <w:pPr>
        <w:pStyle w:val="LectureReference"/>
        <w:rPr>
          <w:lang w:val="en-US"/>
        </w:rPr>
      </w:pPr>
      <w:r>
        <w:t xml:space="preserve">[1] CDC. The Clear Communication Index. Инструмент проверки понятности публичных материалов; в курсе используется адаптация, а не официальная оценка CDC. </w:t>
      </w:r>
      <w:hyperlink r:id="rId8" w:history="1">
        <w:r>
          <w:rPr>
            <w:color w:val="176B72"/>
            <w:u w:val="single"/>
          </w:rPr>
          <w:t>Перейти</w:t>
        </w:r>
        <w:r w:rsidRPr="00AC7000">
          <w:rPr>
            <w:color w:val="176B72"/>
            <w:u w:val="single"/>
            <w:lang w:val="en-US"/>
          </w:rPr>
          <w:t xml:space="preserve"> </w:t>
        </w:r>
        <w:r>
          <w:rPr>
            <w:color w:val="176B72"/>
            <w:u w:val="single"/>
          </w:rPr>
          <w:t>к</w:t>
        </w:r>
        <w:r w:rsidRPr="00AC7000">
          <w:rPr>
            <w:color w:val="176B72"/>
            <w:u w:val="single"/>
            <w:lang w:val="en-US"/>
          </w:rPr>
          <w:t xml:space="preserve"> </w:t>
        </w:r>
        <w:r>
          <w:rPr>
            <w:color w:val="176B72"/>
            <w:u w:val="single"/>
          </w:rPr>
          <w:t>источнику</w:t>
        </w:r>
      </w:hyperlink>
      <w:r w:rsidRPr="00AC7000">
        <w:rPr>
          <w:lang w:val="en-US"/>
        </w:rPr>
        <w:t>.</w:t>
      </w:r>
    </w:p>
    <w:p w14:paraId="33D6720C" w14:textId="77777777" w:rsidR="00474B25" w:rsidRPr="00AC7000" w:rsidRDefault="00000000">
      <w:pPr>
        <w:pStyle w:val="LectureReference"/>
        <w:rPr>
          <w:lang w:val="en-US"/>
        </w:rPr>
      </w:pPr>
      <w:r w:rsidRPr="00AC7000">
        <w:rPr>
          <w:lang w:val="en-US"/>
        </w:rPr>
        <w:t xml:space="preserve">[2] CDC. Crisis &amp; Emergency Risk Communication (CERC) Manual. </w:t>
      </w:r>
      <w:r>
        <w:t xml:space="preserve">Страница руководства обновлена 20.11.2024; главы имеют собственные даты редакций. </w:t>
      </w:r>
      <w:hyperlink r:id="rId9" w:history="1">
        <w:r>
          <w:rPr>
            <w:color w:val="176B72"/>
            <w:u w:val="single"/>
          </w:rPr>
          <w:t>Перейти</w:t>
        </w:r>
        <w:r w:rsidRPr="00AC7000">
          <w:rPr>
            <w:color w:val="176B72"/>
            <w:u w:val="single"/>
            <w:lang w:val="en-US"/>
          </w:rPr>
          <w:t xml:space="preserve"> </w:t>
        </w:r>
        <w:r>
          <w:rPr>
            <w:color w:val="176B72"/>
            <w:u w:val="single"/>
          </w:rPr>
          <w:t>к</w:t>
        </w:r>
        <w:r w:rsidRPr="00AC7000">
          <w:rPr>
            <w:color w:val="176B72"/>
            <w:u w:val="single"/>
            <w:lang w:val="en-US"/>
          </w:rPr>
          <w:t xml:space="preserve"> </w:t>
        </w:r>
        <w:r>
          <w:rPr>
            <w:color w:val="176B72"/>
            <w:u w:val="single"/>
          </w:rPr>
          <w:t>источнику</w:t>
        </w:r>
      </w:hyperlink>
      <w:r w:rsidRPr="00AC7000">
        <w:rPr>
          <w:lang w:val="en-US"/>
        </w:rPr>
        <w:t>.</w:t>
      </w:r>
    </w:p>
    <w:p w14:paraId="44E1FFF0" w14:textId="77777777" w:rsidR="00474B25" w:rsidRDefault="00000000">
      <w:pPr>
        <w:pStyle w:val="LectureReference"/>
      </w:pPr>
      <w:r w:rsidRPr="00AC7000">
        <w:rPr>
          <w:lang w:val="en-US"/>
        </w:rPr>
        <w:t xml:space="preserve">[3] W3C Web Accessibility Initiative. Writing for Web Accessibility. </w:t>
      </w:r>
      <w:hyperlink r:id="rId10" w:history="1">
        <w:r>
          <w:rPr>
            <w:color w:val="176B72"/>
            <w:u w:val="single"/>
          </w:rPr>
          <w:t>Перейти к источнику</w:t>
        </w:r>
      </w:hyperlink>
      <w:r>
        <w:t>.</w:t>
      </w:r>
    </w:p>
    <w:p w14:paraId="2D248244" w14:textId="77777777" w:rsidR="00474B25"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474B25" w:rsidSect="00034616">
      <w:headerReference w:type="default" r:id="rId11"/>
      <w:footerReference w:type="default" r:id="rId12"/>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2BE05" w14:textId="77777777" w:rsidR="0012490A" w:rsidRDefault="0012490A">
      <w:pPr>
        <w:spacing w:after="0" w:line="240" w:lineRule="auto"/>
      </w:pPr>
      <w:r>
        <w:separator/>
      </w:r>
    </w:p>
  </w:endnote>
  <w:endnote w:type="continuationSeparator" w:id="0">
    <w:p w14:paraId="719690F6" w14:textId="77777777" w:rsidR="0012490A" w:rsidRDefault="00124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E35A" w14:textId="4A598E3E" w:rsidR="00474B25"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42FD2" w14:textId="77777777" w:rsidR="0012490A" w:rsidRDefault="0012490A">
      <w:pPr>
        <w:spacing w:after="0" w:line="240" w:lineRule="auto"/>
      </w:pPr>
      <w:r>
        <w:separator/>
      </w:r>
    </w:p>
  </w:footnote>
  <w:footnote w:type="continuationSeparator" w:id="0">
    <w:p w14:paraId="11F8C894" w14:textId="77777777" w:rsidR="0012490A" w:rsidRDefault="00124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3763" w14:textId="08CD62F2" w:rsidR="00474B25"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10</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73752713">
    <w:abstractNumId w:val="8"/>
  </w:num>
  <w:num w:numId="2" w16cid:durableId="1597707357">
    <w:abstractNumId w:val="6"/>
  </w:num>
  <w:num w:numId="3" w16cid:durableId="1837914443">
    <w:abstractNumId w:val="5"/>
  </w:num>
  <w:num w:numId="4" w16cid:durableId="76681234">
    <w:abstractNumId w:val="4"/>
  </w:num>
  <w:num w:numId="5" w16cid:durableId="1419978949">
    <w:abstractNumId w:val="7"/>
  </w:num>
  <w:num w:numId="6" w16cid:durableId="1991055770">
    <w:abstractNumId w:val="3"/>
  </w:num>
  <w:num w:numId="7" w16cid:durableId="825971707">
    <w:abstractNumId w:val="2"/>
  </w:num>
  <w:num w:numId="8" w16cid:durableId="1611858532">
    <w:abstractNumId w:val="1"/>
  </w:num>
  <w:num w:numId="9" w16cid:durableId="687559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71D5"/>
    <w:rsid w:val="0012490A"/>
    <w:rsid w:val="0015074B"/>
    <w:rsid w:val="0029639D"/>
    <w:rsid w:val="00326F90"/>
    <w:rsid w:val="00474B25"/>
    <w:rsid w:val="00AA1D8D"/>
    <w:rsid w:val="00AC700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FF5B5F"/>
  <w14:defaultImageDpi w14:val="300"/>
  <w15:docId w15:val="{3967CE6A-132A-499A-8C7B-174C25C0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cindex/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w3.org/WAI/tips/writing/" TargetMode="External"/><Relationship Id="rId4" Type="http://schemas.openxmlformats.org/officeDocument/2006/relationships/settings" Target="settings.xml"/><Relationship Id="rId9" Type="http://schemas.openxmlformats.org/officeDocument/2006/relationships/hyperlink" Target="https://www.cdc.gov/cerc/php/cerc-manual/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2649</Words>
  <Characters>15104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Публичный имидж: выступления и взаимодействие с медиа</dc:title>
  <dc:subject>Имиджмейкерство. Лекция 10.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2026-09-27T19:56:00Z</dcterms:modified>
  <cp:category/>
</cp:coreProperties>
</file>