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C66BB" w14:textId="77777777" w:rsidR="00333FB4" w:rsidRDefault="00000000">
      <w:pPr>
        <w:pStyle w:val="aa"/>
        <w:spacing w:before="0"/>
      </w:pPr>
      <w:bookmarkStart w:id="0" w:name="Section_01"/>
      <w:bookmarkEnd w:id="0"/>
      <w:r>
        <w:t>Стратегия формирования имиджа</w:t>
      </w:r>
    </w:p>
    <w:p w14:paraId="0A3DF379" w14:textId="77777777" w:rsidR="00333FB4" w:rsidRDefault="00000000">
      <w:pPr>
        <w:pStyle w:val="ac"/>
      </w:pPr>
      <w:r>
        <w:t>Чем стратегия отличается от набора приемов</w:t>
      </w:r>
    </w:p>
    <w:p w14:paraId="05B20CC7" w14:textId="77777777" w:rsidR="00333FB4" w:rsidRDefault="00000000">
      <w:r>
        <w:t>Стратегия формирования имиджа — обоснованный выбор желаемого восприятия, аудитории, доказательств и последовательности действий. Она отвечает не только на вопрос «что сделать», но и на вопросы «почему это нужно», «на каких данных основано» и «как проверить результат». Перечень публикаций без этих связей является планом активности, но не завершенной стратегией.</w:t>
      </w:r>
    </w:p>
    <w:p w14:paraId="1AA0DB07" w14:textId="77777777" w:rsidR="00333FB4" w:rsidRDefault="00000000">
      <w:r>
        <w:t>Исходной точкой служит аудит. Если аудитория не понимает специализацию, решение должно улучшать объяснение роли. Если не хватает доказательств, необходимы примеры работы. Если обещание расходится с процессом, следует изменить деятельность или само обещание. Одинаковый совет «чаще публиковаться» не решает эти разные задачи.</w:t>
      </w:r>
    </w:p>
    <w:p w14:paraId="27FF5FE1" w14:textId="77777777" w:rsidR="00333FB4" w:rsidRDefault="00000000">
      <w:pPr>
        <w:pStyle w:val="21"/>
      </w:pPr>
      <w:r>
        <w:t>Результаты изучения темы</w:t>
      </w:r>
    </w:p>
    <w:p w14:paraId="0B0E0765" w14:textId="77777777" w:rsidR="00333FB4" w:rsidRDefault="00000000">
      <w:r>
        <w:t>Студент научится формулировать проверяемую цель; разрабатывать позиционирование; связывать сообщения с подтверждениями; выбирать каналы по функции; планировать реализацию с учетом ресурсов; составлять бриф и карту рисков.</w:t>
      </w:r>
    </w:p>
    <w:p w14:paraId="343E5A33" w14:textId="77777777" w:rsidR="00333FB4" w:rsidRDefault="00000000">
      <w:r>
        <w:t>Полезная логика стратегии: проблема — цель — аудитория — позиционирование — доказательства — инструменты — реализация — оценка. Она предлагается как рабочая структура курса. Пропуск любого элемента затрудняет проверку: без цели непонятен успех, без аудитории — адресат, без доказательств — достоверность обещания.</w:t>
      </w:r>
    </w:p>
    <w:p w14:paraId="57172C52" w14:textId="77777777" w:rsidR="00333FB4"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Стратегическое решение можно объяснить через связь с выявленной проблемой. Тактический прием без такой связи остается предположением о том, что «должно понравиться».</w:t>
      </w:r>
    </w:p>
    <w:p w14:paraId="2F0C1ECE" w14:textId="77777777" w:rsidR="00333FB4" w:rsidRDefault="00000000">
      <w:r>
        <w:t>Результат недели — стратегический бриф итогового проекта. Пока достаточно ограниченного набора решений для одной аудитории и нескольких точек контакта. Расширять масштаб следует после проверки исходных предположений.</w:t>
      </w:r>
    </w:p>
    <w:p w14:paraId="7F069694" w14:textId="77777777" w:rsidR="00333FB4" w:rsidRDefault="00000000">
      <w:pPr>
        <w:pStyle w:val="1"/>
        <w:pageBreakBefore/>
        <w:spacing w:before="0"/>
      </w:pPr>
      <w:bookmarkStart w:id="1" w:name="Section_02"/>
      <w:bookmarkEnd w:id="1"/>
      <w:r>
        <w:lastRenderedPageBreak/>
        <w:t>Цели: деятельность, восприятие и последующее действие</w:t>
      </w:r>
    </w:p>
    <w:p w14:paraId="3ACBB27D" w14:textId="77777777" w:rsidR="00333FB4" w:rsidRDefault="00000000">
      <w:r>
        <w:t>Цели полезно разделять по уровням. Подготовить портфолио — результат работы команды. Добиться понятности роли при просмотре — изменение восприятия. Получить подходящие обращения — последующее действие аудитории. Эти уровни связаны, но выполнение первого не доказывает достижения остальных.</w:t>
      </w:r>
    </w:p>
    <w:p w14:paraId="338B2FAA" w14:textId="77777777" w:rsidR="00333FB4" w:rsidRDefault="00000000">
      <w:r>
        <w:t>Рамка AMEC разграничивает планирование деятельности, коммуникационные продукты и последующие результаты [2]. Для учебного проекта это основание заранее определить, какой уровень действительно проверяется. Студент может оценить понятность макета, даже если проект еще не запущен и рыночные последствия неизвестны.</w:t>
      </w:r>
    </w:p>
    <w:p w14:paraId="7DB066D1" w14:textId="77777777" w:rsidR="00333FB4" w:rsidRDefault="00000000">
      <w:pPr>
        <w:pStyle w:val="21"/>
      </w:pPr>
      <w:r>
        <w:t>Как формулировать цель</w:t>
      </w:r>
    </w:p>
    <w:p w14:paraId="73656CDD" w14:textId="77777777" w:rsidR="00333FB4" w:rsidRDefault="00000000">
      <w:r>
        <w:t>В формулировке указывают аудиторию, желаемое изменение, ситуацию проверки, показатель и срок. Например: «После доработки профиля проверить, могут ли участники учебного просмотра правильно назвать специализацию и найти пример работы». Числовой ориентир при необходимости согласуют заранее, а не выбирают после получения удобного результата.</w:t>
      </w:r>
    </w:p>
    <w:p w14:paraId="150E4DC1" w14:textId="77777777" w:rsidR="00333FB4" w:rsidRDefault="00000000">
      <w:r>
        <w:t>Недостаточно написать «повысить доверие на 20%», не определив способ измерения. Неясно, идет ли речь о доле ответов, среднем балле или числе обращений. Кроме того, относительное изменение и разница в процентных пунктах не совпадают. Точная формулировка предотвращает неверную интерпретацию.</w:t>
      </w:r>
    </w:p>
    <w:p w14:paraId="60C99524" w14:textId="77777777" w:rsidR="00333FB4" w:rsidRDefault="00000000">
      <w:r>
        <w:t>Полезно добавить критерий, который защищает качество. Например, рост понимания не должен сопровождаться преувеличением опыта. Сокращение текста не должно скрывать ограничения услуги. Такие условия помогают избежать ситуации, когда один показатель улучшается за счет существенной потери достоверности.</w:t>
      </w:r>
    </w:p>
    <w:p w14:paraId="306B707A" w14:textId="77777777" w:rsidR="00333FB4" w:rsidRDefault="00000000">
      <w:r>
        <w:t>Внешнее решение аудитории нельзя полностью гарантировать. Поэтому в плане различают обязательства исполнителя и ожидаемые эффекты. Исполнитель отвечает за подготовку согласованных материалов и проведение теста; изменение отношения остается проверяемой целью, зависящей от дополнительных факторов.</w:t>
      </w:r>
    </w:p>
    <w:p w14:paraId="24C6CF77" w14:textId="77777777" w:rsidR="00333FB4" w:rsidRDefault="00000000">
      <w:pPr>
        <w:pStyle w:val="1"/>
        <w:pageBreakBefore/>
        <w:spacing w:before="0"/>
      </w:pPr>
      <w:bookmarkStart w:id="2" w:name="Section_03"/>
      <w:bookmarkEnd w:id="2"/>
      <w:r>
        <w:lastRenderedPageBreak/>
        <w:t>Позиционирование: роль, полезность и отличие</w:t>
      </w:r>
    </w:p>
    <w:p w14:paraId="7A11C538" w14:textId="77777777" w:rsidR="00333FB4" w:rsidRDefault="00000000">
      <w:r>
        <w:t>Позиционирование определяет, с какой профессиональной задачей и ценностью объект стремится быть связан в восприятии выбранной аудитории. Оно не равно слогану. Слоган — возможная форма выражения; позиционирование — содержательный выбор, который влияет на примеры, язык и границы предложения.</w:t>
      </w:r>
    </w:p>
    <w:p w14:paraId="16C7F001" w14:textId="77777777" w:rsidR="00333FB4" w:rsidRDefault="00000000">
      <w:r>
        <w:t>В модели капитала бренда К. Келлера рассматриваются знания о бренде и связанные с ним ассоциации [1]. Применительно к учебному проекту важно не просто добиться узнавания имени, а сделать понятным, в какой ситуации объект релевантен. Однако модель бренда не означает, что человека следует свести к товару или единственной социальной роли.</w:t>
      </w:r>
    </w:p>
    <w:p w14:paraId="0F4F172E" w14:textId="77777777" w:rsidR="00333FB4" w:rsidRDefault="00000000">
      <w:pPr>
        <w:pStyle w:val="21"/>
      </w:pPr>
      <w:r>
        <w:t>Рабочая формула</w:t>
      </w:r>
    </w:p>
    <w:p w14:paraId="6838F7C1" w14:textId="77777777" w:rsidR="00333FB4" w:rsidRDefault="00000000">
      <w:r>
        <w:t>«Для [аудитории] в ситуации [задачи] я/организация представляю [роль или категорию] и помогаю [конкретная полезность] благодаря [подтвержденный подход], в пределах [ограничения]». Формула предназначена для внутренней разработки и не обязательно публикуется целиком.</w:t>
      </w:r>
    </w:p>
    <w:p w14:paraId="6C85A238" w14:textId="77777777" w:rsidR="00333FB4" w:rsidRDefault="00000000">
      <w:r>
        <w:t>Пример: «Для небольших образовательных команд разрабатываю понятные учебные материалы; показываю логику через задачи и проверяемые примеры; работаю с вводными курсами, но не подтверждаю отраслевую квалификацию». Здесь ясны аудитория, задача, способ работы и граница обещания.</w:t>
      </w:r>
    </w:p>
    <w:p w14:paraId="5DAD28E4" w14:textId="77777777" w:rsidR="00333FB4" w:rsidRDefault="00000000">
      <w:r>
        <w:t>Отличие не обязано быть абсолютной уникальностью. Начинающему специалисту часто достаточно понятного сочетания задачи, подхода и доступного формата. Заявление «единственный эксперт» требует серьезных оснований и обычно не нужно для объяснения ценности.</w:t>
      </w:r>
    </w:p>
    <w:p w14:paraId="5706980E" w14:textId="77777777" w:rsidR="00333FB4" w:rsidRDefault="00000000">
      <w:r>
        <w:t>Позиционирование проверяют двумя вопросами: понимает ли аудитория предложение и может ли объект его подтвердить? Если ответ отрицательный, не следует усиливать формулировку. Нужно уточнить содержание, собрать доказательства или выбрать более реалистичную роль.</w:t>
      </w:r>
    </w:p>
    <w:p w14:paraId="33043A23" w14:textId="77777777" w:rsidR="00333FB4" w:rsidRDefault="00000000">
      <w:pPr>
        <w:pStyle w:val="1"/>
        <w:pageBreakBefore/>
        <w:spacing w:before="0"/>
      </w:pPr>
      <w:bookmarkStart w:id="3" w:name="Section_04"/>
      <w:bookmarkEnd w:id="3"/>
      <w:r>
        <w:lastRenderedPageBreak/>
        <w:t>Архитектура сообщений и доказательств</w:t>
      </w:r>
    </w:p>
    <w:p w14:paraId="44371D84" w14:textId="77777777" w:rsidR="00333FB4" w:rsidRDefault="00000000">
      <w:r>
        <w:t>Архитектура сообщений связывает центральный тезис, пояснения и подтверждения. Центральный тезис сообщает основную профессиональную роль. Пояснения раскрывают задачи и подход. Подтверждения позволяют проверить, что речь идет не только о желаемом впечатлении. Ограничения показывают, где утверждение перестает быть применимым.</w:t>
      </w:r>
    </w:p>
    <w:p w14:paraId="117431C3" w14:textId="77777777" w:rsidR="00333FB4" w:rsidRDefault="00000000">
      <w:r>
        <w:t>Предлагается составить таблицу «тезис — факт — материал — ограничение». Например, тезис «объясняю сложное понятно» подтверждается учебным разбором и результатами теста понимания, а не только словом «понятно» в профиле. Если подтверждения пока нет, нужно запланировать его получение или ослабить утверждение.</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333FB4" w14:paraId="4CB128BF" w14:textId="77777777">
        <w:trPr>
          <w:cantSplit/>
          <w:tblHeader/>
          <w:jc w:val="center"/>
        </w:trPr>
        <w:tc>
          <w:tcPr>
            <w:tcW w:w="2272" w:type="dxa"/>
            <w:shd w:val="clear" w:color="auto" w:fill="19354A"/>
          </w:tcPr>
          <w:p w14:paraId="31A5D364" w14:textId="77777777" w:rsidR="00333FB4" w:rsidRDefault="00000000">
            <w:pPr>
              <w:pStyle w:val="LectureTable"/>
              <w:keepNext/>
              <w:spacing w:after="0"/>
            </w:pPr>
            <w:r>
              <w:rPr>
                <w:b/>
                <w:color w:val="FFFFFF"/>
              </w:rPr>
              <w:t>Тезис</w:t>
            </w:r>
          </w:p>
        </w:tc>
        <w:tc>
          <w:tcPr>
            <w:tcW w:w="3030" w:type="dxa"/>
            <w:shd w:val="clear" w:color="auto" w:fill="19354A"/>
          </w:tcPr>
          <w:p w14:paraId="41AB7D18" w14:textId="77777777" w:rsidR="00333FB4" w:rsidRDefault="00000000">
            <w:pPr>
              <w:pStyle w:val="LectureTable"/>
              <w:keepNext/>
              <w:spacing w:after="0"/>
            </w:pPr>
            <w:r>
              <w:rPr>
                <w:b/>
                <w:color w:val="FFFFFF"/>
              </w:rPr>
              <w:t>Подтверждение</w:t>
            </w:r>
          </w:p>
        </w:tc>
        <w:tc>
          <w:tcPr>
            <w:tcW w:w="4166" w:type="dxa"/>
            <w:shd w:val="clear" w:color="auto" w:fill="19354A"/>
          </w:tcPr>
          <w:p w14:paraId="6AEACC6C" w14:textId="77777777" w:rsidR="00333FB4" w:rsidRDefault="00000000">
            <w:pPr>
              <w:pStyle w:val="LectureTable"/>
              <w:keepNext/>
              <w:spacing w:after="0"/>
            </w:pPr>
            <w:r>
              <w:rPr>
                <w:b/>
                <w:color w:val="FFFFFF"/>
              </w:rPr>
              <w:t>Граница</w:t>
            </w:r>
          </w:p>
        </w:tc>
      </w:tr>
      <w:tr w:rsidR="00333FB4" w14:paraId="3B87715E" w14:textId="77777777">
        <w:trPr>
          <w:cantSplit/>
          <w:jc w:val="center"/>
        </w:trPr>
        <w:tc>
          <w:tcPr>
            <w:tcW w:w="2272" w:type="dxa"/>
            <w:shd w:val="clear" w:color="auto" w:fill="F0F4F6"/>
          </w:tcPr>
          <w:p w14:paraId="4374F53D" w14:textId="77777777" w:rsidR="00333FB4" w:rsidRDefault="00000000">
            <w:pPr>
              <w:pStyle w:val="LectureTable"/>
              <w:keepNext/>
              <w:spacing w:after="0"/>
            </w:pPr>
            <w:r>
              <w:t>Работает с исследованием опыта</w:t>
            </w:r>
          </w:p>
        </w:tc>
        <w:tc>
          <w:tcPr>
            <w:tcW w:w="3030" w:type="dxa"/>
            <w:shd w:val="clear" w:color="auto" w:fill="F0F4F6"/>
          </w:tcPr>
          <w:p w14:paraId="78F0F46E" w14:textId="77777777" w:rsidR="00333FB4" w:rsidRDefault="00000000">
            <w:pPr>
              <w:pStyle w:val="LectureTable"/>
              <w:keepNext/>
              <w:spacing w:after="0"/>
            </w:pPr>
            <w:r>
              <w:t>Описание интервью и анализа</w:t>
            </w:r>
          </w:p>
        </w:tc>
        <w:tc>
          <w:tcPr>
            <w:tcW w:w="4166" w:type="dxa"/>
            <w:shd w:val="clear" w:color="auto" w:fill="F0F4F6"/>
          </w:tcPr>
          <w:p w14:paraId="4EDE26E8" w14:textId="77777777" w:rsidR="00333FB4" w:rsidRDefault="00000000">
            <w:pPr>
              <w:pStyle w:val="LectureTable"/>
              <w:keepNext/>
              <w:spacing w:after="0"/>
            </w:pPr>
            <w:r>
              <w:t>Учебная, а не рыночная выборка</w:t>
            </w:r>
          </w:p>
        </w:tc>
      </w:tr>
      <w:tr w:rsidR="00333FB4" w14:paraId="01BEF0FD" w14:textId="77777777">
        <w:trPr>
          <w:cantSplit/>
          <w:jc w:val="center"/>
        </w:trPr>
        <w:tc>
          <w:tcPr>
            <w:tcW w:w="2272" w:type="dxa"/>
            <w:shd w:val="clear" w:color="auto" w:fill="FFFFFF"/>
          </w:tcPr>
          <w:p w14:paraId="5614E9E1" w14:textId="77777777" w:rsidR="00333FB4" w:rsidRDefault="00000000">
            <w:pPr>
              <w:pStyle w:val="LectureTable"/>
              <w:keepNext/>
              <w:spacing w:after="0"/>
            </w:pPr>
            <w:r>
              <w:t>Системно ведет проект</w:t>
            </w:r>
          </w:p>
        </w:tc>
        <w:tc>
          <w:tcPr>
            <w:tcW w:w="3030" w:type="dxa"/>
            <w:shd w:val="clear" w:color="auto" w:fill="FFFFFF"/>
          </w:tcPr>
          <w:p w14:paraId="7B5D488F" w14:textId="77777777" w:rsidR="00333FB4" w:rsidRDefault="00000000">
            <w:pPr>
              <w:pStyle w:val="LectureTable"/>
              <w:keepNext/>
              <w:spacing w:after="0"/>
            </w:pPr>
            <w:r>
              <w:t>План и журнал согласований</w:t>
            </w:r>
          </w:p>
        </w:tc>
        <w:tc>
          <w:tcPr>
            <w:tcW w:w="4166" w:type="dxa"/>
            <w:shd w:val="clear" w:color="auto" w:fill="FFFFFF"/>
          </w:tcPr>
          <w:p w14:paraId="44B57E66" w14:textId="77777777" w:rsidR="00333FB4" w:rsidRDefault="00000000">
            <w:pPr>
              <w:pStyle w:val="LectureTable"/>
              <w:keepNext/>
              <w:spacing w:after="0"/>
            </w:pPr>
            <w:r>
              <w:t>Пример относится к конкретной задаче</w:t>
            </w:r>
          </w:p>
        </w:tc>
      </w:tr>
      <w:tr w:rsidR="00333FB4" w14:paraId="3351E8CE" w14:textId="77777777">
        <w:trPr>
          <w:cantSplit/>
          <w:jc w:val="center"/>
        </w:trPr>
        <w:tc>
          <w:tcPr>
            <w:tcW w:w="2272" w:type="dxa"/>
            <w:shd w:val="clear" w:color="auto" w:fill="F0F4F6"/>
          </w:tcPr>
          <w:p w14:paraId="152FDCE6" w14:textId="77777777" w:rsidR="00333FB4" w:rsidRDefault="00000000">
            <w:pPr>
              <w:pStyle w:val="LectureTable"/>
              <w:spacing w:after="0"/>
            </w:pPr>
            <w:r>
              <w:t>Делает материалы доступнее</w:t>
            </w:r>
          </w:p>
        </w:tc>
        <w:tc>
          <w:tcPr>
            <w:tcW w:w="3030" w:type="dxa"/>
            <w:shd w:val="clear" w:color="auto" w:fill="F0F4F6"/>
          </w:tcPr>
          <w:p w14:paraId="683A25DE" w14:textId="77777777" w:rsidR="00333FB4" w:rsidRDefault="00000000">
            <w:pPr>
              <w:pStyle w:val="LectureTable"/>
              <w:spacing w:after="0"/>
            </w:pPr>
            <w:r>
              <w:t>Тест навигации и текстовая версия</w:t>
            </w:r>
          </w:p>
        </w:tc>
        <w:tc>
          <w:tcPr>
            <w:tcW w:w="4166" w:type="dxa"/>
            <w:shd w:val="clear" w:color="auto" w:fill="F0F4F6"/>
          </w:tcPr>
          <w:p w14:paraId="19CB9CFA" w14:textId="77777777" w:rsidR="00333FB4" w:rsidRDefault="00000000">
            <w:pPr>
              <w:pStyle w:val="LectureTable"/>
              <w:spacing w:after="0"/>
            </w:pPr>
            <w:r>
              <w:t>Не заявлена полная сертификация доступности</w:t>
            </w:r>
          </w:p>
        </w:tc>
      </w:tr>
    </w:tbl>
    <w:p w14:paraId="685CF356" w14:textId="77777777" w:rsidR="00333FB4" w:rsidRDefault="00333FB4">
      <w:pPr>
        <w:spacing w:after="0" w:line="120" w:lineRule="exact"/>
      </w:pPr>
    </w:p>
    <w:p w14:paraId="50F0158A" w14:textId="77777777" w:rsidR="00333FB4" w:rsidRDefault="00000000">
      <w:r>
        <w:t>Одна и та же доказательная база может использоваться в коротком профиле, презентации и подробном кейсе. Короткий формат не обязан включать весь отчет, но должен давать путь к уточнению существенных сведений. Особенно важно сохранять единые даты, роли и условия между каналами.</w:t>
      </w:r>
    </w:p>
    <w:p w14:paraId="25772D2B" w14:textId="77777777" w:rsidR="00333FB4" w:rsidRDefault="00000000">
      <w:r>
        <w:t>Не перегружайте сообщение равнозначными тезисами. Если каждое предложение объявляет новую специализацию, аудитории сложнее понять приоритет. Для первой версии стратегии достаточно одного ядра и двух-трех поясняющих направлений.</w:t>
      </w:r>
    </w:p>
    <w:p w14:paraId="680CA2E2" w14:textId="77777777" w:rsidR="00333FB4" w:rsidRDefault="00000000">
      <w:r>
        <w:t>Проверка сообщения включает поиск возможного неверного прочтения: не создает ли фраза ожидание гарантии, независимого одобрения или масштаба опыта, которого нет? Такая проверка должна проводиться до визуального оформления и публикации.</w:t>
      </w:r>
    </w:p>
    <w:p w14:paraId="47D1B741" w14:textId="77777777" w:rsidR="00333FB4" w:rsidRDefault="00000000">
      <w:pPr>
        <w:pStyle w:val="1"/>
        <w:pageBreakBefore/>
        <w:spacing w:before="0"/>
      </w:pPr>
      <w:bookmarkStart w:id="4" w:name="Section_05"/>
      <w:bookmarkEnd w:id="4"/>
      <w:r>
        <w:lastRenderedPageBreak/>
        <w:t>Выбор инструментов и каналов</w:t>
      </w:r>
    </w:p>
    <w:p w14:paraId="53701BD1" w14:textId="77777777" w:rsidR="00333FB4" w:rsidRDefault="00000000">
      <w:r>
        <w:t>Инструмент выбирают по функции в решении проблемы. Портфолио показывает работу, краткая биография объясняет роль, видеовыступление демонстрирует способ публичного объяснения, инструкция снижает неопределенность взаимодействия. Один канал может выполнять несколько функций, но это нужно проверить, а не предполагать.</w:t>
      </w:r>
    </w:p>
    <w:p w14:paraId="0EE80DA6" w14:textId="77777777" w:rsidR="00333FB4" w:rsidRDefault="00000000">
      <w:r>
        <w:t>Полезно начать с существующих точек контакта. Если люди уже приходят на страницу услуги, улучшение ее структуры может быть приоритетнее создания нового аккаунта. Если вопрос возникает в переписке, нужна ясная форма ответа. Стратегия не должна автоматически расширять число каналов и нагрузку на автора.</w:t>
      </w:r>
    </w:p>
    <w:p w14:paraId="77606248" w14:textId="77777777" w:rsidR="00333FB4" w:rsidRDefault="00000000">
      <w:pPr>
        <w:pStyle w:val="21"/>
      </w:pPr>
      <w:r>
        <w:t>Согласование средств</w:t>
      </w:r>
    </w:p>
    <w:p w14:paraId="47A76136" w14:textId="77777777" w:rsidR="00333FB4" w:rsidRDefault="00000000">
      <w:r>
        <w:t>Визуальный стиль, речь и поведение должны поддерживать общую роль. Например, позиционирование, связанное с точностью, требует проверенных данных и понятных ограничений. Одной строгой фотографии для этого недостаточно. Аналогично дружелюбный тон не заменяет работоспособного способа обращения.</w:t>
      </w:r>
    </w:p>
    <w:p w14:paraId="7B493499" w14:textId="77777777" w:rsidR="00333FB4" w:rsidRDefault="00000000">
      <w:r>
        <w:t>Для каждого инструмента укажите вход: какие данные нужны; выход: какой материал создается; ресурс: кто и сколько времени работает; проверку: как оценивается понятность; риск: какое нежелательное ожидание может возникнуть. Такая карточка делает выбор сравнимым и помогает отказаться от лишнего.</w:t>
      </w:r>
    </w:p>
    <w:p w14:paraId="4273C592" w14:textId="77777777" w:rsidR="00333FB4" w:rsidRDefault="00000000">
      <w:r>
        <w:t>Необходим и резервный формат. Если видео не открывается, ключевая информация должна быть доступна в тексте. Если личная встреча невозможна, можно предусмотреть асинхронные вопросы. Это проектное решение, обеспечивающее доступ к содержанию, а не дополнительная декоративная опция.</w:t>
      </w:r>
    </w:p>
    <w:p w14:paraId="6E6F52C5" w14:textId="77777777" w:rsidR="00333FB4"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Количество каналов не является самостоятельной мерой качества стратегии. Важно, закрывают ли выбранные средства реальные информационные задачи аудитории.</w:t>
      </w:r>
    </w:p>
    <w:p w14:paraId="3FC73C83" w14:textId="77777777" w:rsidR="00333FB4" w:rsidRDefault="00000000">
      <w:r>
        <w:t>Приоритет следует отдавать согласованной системе, которую можно поддерживать. Заброшенный канал с устаревшими условиями создает проблему, которую новая публикация в другом месте не обязательно исправляет.</w:t>
      </w:r>
    </w:p>
    <w:p w14:paraId="59694BA0" w14:textId="77777777" w:rsidR="00333FB4" w:rsidRDefault="00000000">
      <w:pPr>
        <w:pStyle w:val="1"/>
        <w:pageBreakBefore/>
        <w:spacing w:before="0"/>
      </w:pPr>
      <w:bookmarkStart w:id="5" w:name="Section_06"/>
      <w:bookmarkEnd w:id="5"/>
      <w:r>
        <w:lastRenderedPageBreak/>
        <w:t>План реализации: последовательность и ответственность</w:t>
      </w:r>
    </w:p>
    <w:p w14:paraId="37871164" w14:textId="77777777" w:rsidR="00333FB4" w:rsidRDefault="00000000">
      <w:r>
        <w:t>План переводит стратегию в действия с понятными сроками и ответственными. В нем необходимо различать сбор подтверждений, подготовку содержания, оформление, проверку и публикацию. Если визуальную концепцию утверждают раньше содержания, изменения тезисов могут потребовать повторной работы.</w:t>
      </w:r>
    </w:p>
    <w:p w14:paraId="53B3021E" w14:textId="77777777" w:rsidR="00333FB4" w:rsidRDefault="00000000">
      <w:r>
        <w:t>Для учебного проекта подойдет последовательность из четырех этапов. Первый — уточнение аудита и брифа. Второй — подготовка доказательной базы и текстов. Третий — создание макетов и тест. Четвертый — доработка и документирование результатов. Сроки определяются доступной нагрузкой, а не универсальной нормой.</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333FB4" w14:paraId="21D46AA4" w14:textId="77777777">
        <w:trPr>
          <w:cantSplit/>
          <w:tblHeader/>
          <w:jc w:val="center"/>
        </w:trPr>
        <w:tc>
          <w:tcPr>
            <w:tcW w:w="2272" w:type="dxa"/>
            <w:shd w:val="clear" w:color="auto" w:fill="19354A"/>
          </w:tcPr>
          <w:p w14:paraId="15651C1B" w14:textId="77777777" w:rsidR="00333FB4" w:rsidRDefault="00000000">
            <w:pPr>
              <w:pStyle w:val="LectureTable"/>
              <w:keepNext/>
              <w:spacing w:after="0"/>
            </w:pPr>
            <w:r>
              <w:rPr>
                <w:b/>
                <w:color w:val="FFFFFF"/>
              </w:rPr>
              <w:t>Этап</w:t>
            </w:r>
          </w:p>
        </w:tc>
        <w:tc>
          <w:tcPr>
            <w:tcW w:w="3030" w:type="dxa"/>
            <w:shd w:val="clear" w:color="auto" w:fill="19354A"/>
          </w:tcPr>
          <w:p w14:paraId="62F3FE2A" w14:textId="77777777" w:rsidR="00333FB4" w:rsidRDefault="00000000">
            <w:pPr>
              <w:pStyle w:val="LectureTable"/>
              <w:keepNext/>
              <w:spacing w:after="0"/>
            </w:pPr>
            <w:r>
              <w:rPr>
                <w:b/>
                <w:color w:val="FFFFFF"/>
              </w:rPr>
              <w:t>Результат</w:t>
            </w:r>
          </w:p>
        </w:tc>
        <w:tc>
          <w:tcPr>
            <w:tcW w:w="4166" w:type="dxa"/>
            <w:shd w:val="clear" w:color="auto" w:fill="19354A"/>
          </w:tcPr>
          <w:p w14:paraId="456A809A" w14:textId="77777777" w:rsidR="00333FB4" w:rsidRDefault="00000000">
            <w:pPr>
              <w:pStyle w:val="LectureTable"/>
              <w:keepNext/>
              <w:spacing w:after="0"/>
            </w:pPr>
            <w:r>
              <w:rPr>
                <w:b/>
                <w:color w:val="FFFFFF"/>
              </w:rPr>
              <w:t>Условие перехода</w:t>
            </w:r>
          </w:p>
        </w:tc>
      </w:tr>
      <w:tr w:rsidR="00333FB4" w14:paraId="162D593F" w14:textId="77777777">
        <w:trPr>
          <w:cantSplit/>
          <w:jc w:val="center"/>
        </w:trPr>
        <w:tc>
          <w:tcPr>
            <w:tcW w:w="2272" w:type="dxa"/>
            <w:shd w:val="clear" w:color="auto" w:fill="F0F4F6"/>
          </w:tcPr>
          <w:p w14:paraId="6D0BCF1F" w14:textId="77777777" w:rsidR="00333FB4" w:rsidRDefault="00000000">
            <w:pPr>
              <w:pStyle w:val="LectureTable"/>
              <w:keepNext/>
              <w:spacing w:after="0"/>
            </w:pPr>
            <w:r>
              <w:t>Уточнение</w:t>
            </w:r>
          </w:p>
        </w:tc>
        <w:tc>
          <w:tcPr>
            <w:tcW w:w="3030" w:type="dxa"/>
            <w:shd w:val="clear" w:color="auto" w:fill="F0F4F6"/>
          </w:tcPr>
          <w:p w14:paraId="7915C547" w14:textId="77777777" w:rsidR="00333FB4" w:rsidRDefault="00000000">
            <w:pPr>
              <w:pStyle w:val="LectureTable"/>
              <w:keepNext/>
              <w:spacing w:after="0"/>
            </w:pPr>
            <w:r>
              <w:t>Согласованная проблема и цель</w:t>
            </w:r>
          </w:p>
        </w:tc>
        <w:tc>
          <w:tcPr>
            <w:tcW w:w="4166" w:type="dxa"/>
            <w:shd w:val="clear" w:color="auto" w:fill="F0F4F6"/>
          </w:tcPr>
          <w:p w14:paraId="533E4015" w14:textId="77777777" w:rsidR="00333FB4" w:rsidRDefault="00000000">
            <w:pPr>
              <w:pStyle w:val="LectureTable"/>
              <w:keepNext/>
              <w:spacing w:after="0"/>
            </w:pPr>
            <w:r>
              <w:t>Понятны аудитория и ограничения</w:t>
            </w:r>
          </w:p>
        </w:tc>
      </w:tr>
      <w:tr w:rsidR="00333FB4" w14:paraId="42EFCE9A" w14:textId="77777777">
        <w:trPr>
          <w:cantSplit/>
          <w:jc w:val="center"/>
        </w:trPr>
        <w:tc>
          <w:tcPr>
            <w:tcW w:w="2272" w:type="dxa"/>
            <w:shd w:val="clear" w:color="auto" w:fill="FFFFFF"/>
          </w:tcPr>
          <w:p w14:paraId="64C583C7" w14:textId="77777777" w:rsidR="00333FB4" w:rsidRDefault="00000000">
            <w:pPr>
              <w:pStyle w:val="LectureTable"/>
              <w:keepNext/>
              <w:spacing w:after="0"/>
            </w:pPr>
            <w:r>
              <w:t>Содержание</w:t>
            </w:r>
          </w:p>
        </w:tc>
        <w:tc>
          <w:tcPr>
            <w:tcW w:w="3030" w:type="dxa"/>
            <w:shd w:val="clear" w:color="auto" w:fill="FFFFFF"/>
          </w:tcPr>
          <w:p w14:paraId="085D447C" w14:textId="77777777" w:rsidR="00333FB4" w:rsidRDefault="00000000">
            <w:pPr>
              <w:pStyle w:val="LectureTable"/>
              <w:keepNext/>
              <w:spacing w:after="0"/>
            </w:pPr>
            <w:r>
              <w:t>Тезисы и подтверждения</w:t>
            </w:r>
          </w:p>
        </w:tc>
        <w:tc>
          <w:tcPr>
            <w:tcW w:w="4166" w:type="dxa"/>
            <w:shd w:val="clear" w:color="auto" w:fill="FFFFFF"/>
          </w:tcPr>
          <w:p w14:paraId="7D18FEB1" w14:textId="77777777" w:rsidR="00333FB4" w:rsidRDefault="00000000">
            <w:pPr>
              <w:pStyle w:val="LectureTable"/>
              <w:keepNext/>
              <w:spacing w:after="0"/>
            </w:pPr>
            <w:r>
              <w:t>Проверены факты и роли</w:t>
            </w:r>
          </w:p>
        </w:tc>
      </w:tr>
      <w:tr w:rsidR="00333FB4" w14:paraId="66E6098C" w14:textId="77777777">
        <w:trPr>
          <w:cantSplit/>
          <w:jc w:val="center"/>
        </w:trPr>
        <w:tc>
          <w:tcPr>
            <w:tcW w:w="2272" w:type="dxa"/>
            <w:shd w:val="clear" w:color="auto" w:fill="F0F4F6"/>
          </w:tcPr>
          <w:p w14:paraId="04D5BEFE" w14:textId="77777777" w:rsidR="00333FB4" w:rsidRDefault="00000000">
            <w:pPr>
              <w:pStyle w:val="LectureTable"/>
              <w:keepNext/>
              <w:spacing w:after="0"/>
            </w:pPr>
            <w:r>
              <w:t>Прототип</w:t>
            </w:r>
          </w:p>
        </w:tc>
        <w:tc>
          <w:tcPr>
            <w:tcW w:w="3030" w:type="dxa"/>
            <w:shd w:val="clear" w:color="auto" w:fill="F0F4F6"/>
          </w:tcPr>
          <w:p w14:paraId="170CCFF9" w14:textId="77777777" w:rsidR="00333FB4" w:rsidRDefault="00000000">
            <w:pPr>
              <w:pStyle w:val="LectureTable"/>
              <w:keepNext/>
              <w:spacing w:after="0"/>
            </w:pPr>
            <w:r>
              <w:t>Макет ключевых материалов</w:t>
            </w:r>
          </w:p>
        </w:tc>
        <w:tc>
          <w:tcPr>
            <w:tcW w:w="4166" w:type="dxa"/>
            <w:shd w:val="clear" w:color="auto" w:fill="F0F4F6"/>
          </w:tcPr>
          <w:p w14:paraId="619331B0" w14:textId="77777777" w:rsidR="00333FB4" w:rsidRDefault="00000000">
            <w:pPr>
              <w:pStyle w:val="LectureTable"/>
              <w:keepNext/>
              <w:spacing w:after="0"/>
            </w:pPr>
            <w:r>
              <w:t>Можно провести учебный просмотр</w:t>
            </w:r>
          </w:p>
        </w:tc>
      </w:tr>
      <w:tr w:rsidR="00333FB4" w14:paraId="087908D2" w14:textId="77777777">
        <w:trPr>
          <w:cantSplit/>
          <w:jc w:val="center"/>
        </w:trPr>
        <w:tc>
          <w:tcPr>
            <w:tcW w:w="2272" w:type="dxa"/>
            <w:shd w:val="clear" w:color="auto" w:fill="FFFFFF"/>
          </w:tcPr>
          <w:p w14:paraId="22092D2F" w14:textId="77777777" w:rsidR="00333FB4" w:rsidRDefault="00000000">
            <w:pPr>
              <w:pStyle w:val="LectureTable"/>
              <w:keepNext/>
              <w:spacing w:after="0"/>
            </w:pPr>
            <w:r>
              <w:t>Проверка</w:t>
            </w:r>
          </w:p>
        </w:tc>
        <w:tc>
          <w:tcPr>
            <w:tcW w:w="3030" w:type="dxa"/>
            <w:shd w:val="clear" w:color="auto" w:fill="FFFFFF"/>
          </w:tcPr>
          <w:p w14:paraId="55171813" w14:textId="77777777" w:rsidR="00333FB4" w:rsidRDefault="00000000">
            <w:pPr>
              <w:pStyle w:val="LectureTable"/>
              <w:keepNext/>
              <w:spacing w:after="0"/>
            </w:pPr>
            <w:r>
              <w:t>Ответы и наблюдения</w:t>
            </w:r>
          </w:p>
        </w:tc>
        <w:tc>
          <w:tcPr>
            <w:tcW w:w="4166" w:type="dxa"/>
            <w:shd w:val="clear" w:color="auto" w:fill="FFFFFF"/>
          </w:tcPr>
          <w:p w14:paraId="72036CFD" w14:textId="77777777" w:rsidR="00333FB4" w:rsidRDefault="00000000">
            <w:pPr>
              <w:pStyle w:val="LectureTable"/>
              <w:keepNext/>
              <w:spacing w:after="0"/>
            </w:pPr>
            <w:r>
              <w:t>Описаны метод и ограничения</w:t>
            </w:r>
          </w:p>
        </w:tc>
      </w:tr>
      <w:tr w:rsidR="00333FB4" w14:paraId="34092619" w14:textId="77777777">
        <w:trPr>
          <w:cantSplit/>
          <w:jc w:val="center"/>
        </w:trPr>
        <w:tc>
          <w:tcPr>
            <w:tcW w:w="2272" w:type="dxa"/>
            <w:shd w:val="clear" w:color="auto" w:fill="F0F4F6"/>
          </w:tcPr>
          <w:p w14:paraId="26540AC6" w14:textId="77777777" w:rsidR="00333FB4" w:rsidRDefault="00000000">
            <w:pPr>
              <w:pStyle w:val="LectureTable"/>
              <w:spacing w:after="0"/>
            </w:pPr>
            <w:r>
              <w:t>Доработка</w:t>
            </w:r>
          </w:p>
        </w:tc>
        <w:tc>
          <w:tcPr>
            <w:tcW w:w="3030" w:type="dxa"/>
            <w:shd w:val="clear" w:color="auto" w:fill="F0F4F6"/>
          </w:tcPr>
          <w:p w14:paraId="012E2766" w14:textId="77777777" w:rsidR="00333FB4" w:rsidRDefault="00000000">
            <w:pPr>
              <w:pStyle w:val="LectureTable"/>
              <w:spacing w:after="0"/>
            </w:pPr>
            <w:r>
              <w:t>Итоговая версия</w:t>
            </w:r>
          </w:p>
        </w:tc>
        <w:tc>
          <w:tcPr>
            <w:tcW w:w="4166" w:type="dxa"/>
            <w:shd w:val="clear" w:color="auto" w:fill="F0F4F6"/>
          </w:tcPr>
          <w:p w14:paraId="62AA22E2" w14:textId="77777777" w:rsidR="00333FB4" w:rsidRDefault="00000000">
            <w:pPr>
              <w:pStyle w:val="LectureTable"/>
              <w:spacing w:after="0"/>
            </w:pPr>
            <w:r>
              <w:t>Изменения связаны с данными</w:t>
            </w:r>
          </w:p>
        </w:tc>
      </w:tr>
    </w:tbl>
    <w:p w14:paraId="5E0764E5" w14:textId="77777777" w:rsidR="00333FB4" w:rsidRDefault="00333FB4">
      <w:pPr>
        <w:spacing w:after="0" w:line="120" w:lineRule="exact"/>
      </w:pPr>
    </w:p>
    <w:p w14:paraId="5CB6A0E6" w14:textId="77777777" w:rsidR="00333FB4" w:rsidRDefault="00000000">
      <w:r>
        <w:t>Ответственный за решение и исполнитель могут быть разными людьми. Например, дизайнер готовит макет, а автор подтверждает факты биографии. В небольшом студенческом проекте роли может выполнять один человек, но сами функции все равно полезно назвать.</w:t>
      </w:r>
    </w:p>
    <w:p w14:paraId="65476D1F" w14:textId="77777777" w:rsidR="00333FB4" w:rsidRDefault="00000000">
      <w:r>
        <w:t>Ресурсный план включает время на согласования и исправления. Нельзя считать проект завершенным в момент создания первого текста, если еще не проверены условия использования изображений или точность данных. Полезно заранее установить минимально достаточный комплект, чтобы не расходовать все время на второстепенные элементы.</w:t>
      </w:r>
    </w:p>
    <w:p w14:paraId="003228BD" w14:textId="77777777" w:rsidR="00333FB4" w:rsidRDefault="00000000">
      <w:r>
        <w:t>Ведите журнал версий: что изменено, по какому основанию и какие риски остаются. Он показывает преподавателю логику работы и позволяет восстановить, почему итоговая стратегия отличается от первоначального замысла.</w:t>
      </w:r>
    </w:p>
    <w:p w14:paraId="1F519269" w14:textId="77777777" w:rsidR="00333FB4" w:rsidRDefault="00000000">
      <w:pPr>
        <w:pStyle w:val="1"/>
        <w:pageBreakBefore/>
        <w:spacing w:before="0"/>
      </w:pPr>
      <w:bookmarkStart w:id="6" w:name="Section_07"/>
      <w:bookmarkEnd w:id="6"/>
      <w:r>
        <w:lastRenderedPageBreak/>
        <w:t>Риски, ограничения и критерии отказа</w:t>
      </w:r>
    </w:p>
    <w:p w14:paraId="176A7F05" w14:textId="77777777" w:rsidR="00333FB4" w:rsidRDefault="00000000">
      <w:r>
        <w:t>Риск — возможное событие или условие, способное помешать цели или причинить нежелательные последствия. В имиджевом проекте это могут быть неподтвержденное обещание, нарушение конфиденциальности, устаревшая информация, несогласованность каналов или отсутствие ресурсов для поддержания публичного обязательства.</w:t>
      </w:r>
    </w:p>
    <w:p w14:paraId="6B979F82" w14:textId="77777777" w:rsidR="00333FB4" w:rsidRDefault="00000000">
      <w:r>
        <w:t>Оценка риска начинается с описания ситуации, а не с произвольного числа. Например: «В портфолио может оказаться клиентский материал без разрешения». Затем определяют последствия, признаки обнаружения и действие: заменить материал учебным аналогом либо получить согласование до публикации.</w:t>
      </w:r>
    </w:p>
    <w:p w14:paraId="32CF1D03" w14:textId="77777777" w:rsidR="00333FB4" w:rsidRDefault="00000000">
      <w:pPr>
        <w:pStyle w:val="21"/>
      </w:pPr>
      <w:r>
        <w:t>Критерии остановки</w:t>
      </w:r>
    </w:p>
    <w:p w14:paraId="4E98CD63" w14:textId="77777777" w:rsidR="00333FB4" w:rsidRDefault="00000000">
      <w:r>
        <w:t>Полезно заранее назвать условия, при которых решение не реализуется. Нет подтверждения опыта — не публикуем соответствующий тезис. Неясны права на изображение — используем другой материал. Тест выявил неверное понимание уровня услуги — сначала исправляем формулировку, затем расширяем распространение.</w:t>
      </w:r>
    </w:p>
    <w:p w14:paraId="570C2BE0" w14:textId="77777777" w:rsidR="00333FB4" w:rsidRDefault="00000000">
      <w:r>
        <w:t>Этический ориентир точного представления интересов и ответственности за сообщение обсуждается в профессиональном кодексе PRSA [3]. В нашем проекте это выражается в конкретном правиле: желаемая убедительность не отменяет проверки фактов и существенных ограничений.</w:t>
      </w:r>
    </w:p>
    <w:p w14:paraId="08FC1336" w14:textId="77777777" w:rsidR="00333FB4" w:rsidRDefault="00000000">
      <w:r>
        <w:t>Не вся отрицательная обратная связь требует смены стратегии. Одно замечание может отражать вкус, другое — обнаруживать существенную ошибку. Приоритет определяется содержанием и основанием, а не только эмоциональной силой реакции. Значимые фактические ошибки исправляются независимо от числа жалоб.</w:t>
      </w:r>
    </w:p>
    <w:p w14:paraId="4979A222" w14:textId="77777777" w:rsidR="00333FB4"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Стратегия должна включать не только действия, но и условия, при которых от привлекательного приема следует отказаться.</w:t>
      </w:r>
    </w:p>
    <w:p w14:paraId="5A4DCFF0" w14:textId="77777777" w:rsidR="00333FB4" w:rsidRDefault="00000000">
      <w:r>
        <w:t>Если данных недостаточно, допустим ограниченный пилот. Он позволяет проверить решение на малом масштабе без заявления о гарантированном эффекте. Однако пилот не должен создавать недопустимые риски для участников или распространять заведомо неверные сведения.</w:t>
      </w:r>
    </w:p>
    <w:p w14:paraId="762EFF01" w14:textId="77777777" w:rsidR="00333FB4" w:rsidRDefault="00000000">
      <w:pPr>
        <w:pStyle w:val="1"/>
        <w:pageBreakBefore/>
        <w:spacing w:before="0"/>
      </w:pPr>
      <w:bookmarkStart w:id="7" w:name="Section_08"/>
      <w:bookmarkEnd w:id="7"/>
      <w:r>
        <w:lastRenderedPageBreak/>
        <w:t>Учебный кейс: стратегия начинающего консультанта</w:t>
      </w:r>
    </w:p>
    <w:p w14:paraId="03F9BAE2" w14:textId="77777777" w:rsidR="00333FB4" w:rsidRDefault="00000000">
      <w:r>
        <w:t>Кейс вымышленный. Артем хочет получать запросы на разработку учебных презентаций. В профиле он перечисляет дизайн, маркетинг, аналитику, обучение и управление проектами. В учебном просмотре участники не могут понять основную услугу. При этом у Артема есть три реальных учебных примера переработки сложного материала.</w:t>
      </w:r>
    </w:p>
    <w:p w14:paraId="1E832AC6" w14:textId="77777777" w:rsidR="00333FB4" w:rsidRDefault="00000000">
      <w:pPr>
        <w:pStyle w:val="21"/>
      </w:pPr>
      <w:r>
        <w:t>Диагноз и цель</w:t>
      </w:r>
    </w:p>
    <w:p w14:paraId="290CAA06" w14:textId="77777777" w:rsidR="00333FB4" w:rsidRDefault="00000000">
      <w:r>
        <w:t>Предварительная проблема — размытая роль, а не недостаточная яркость оформления. Цель пилота — проверить, станет ли после доработки понятнее основная задача и состав результата. Получение коммерческих заказов не объявляется доказанным или гарантированным эффектом.</w:t>
      </w:r>
    </w:p>
    <w:p w14:paraId="65E37594" w14:textId="77777777" w:rsidR="00333FB4" w:rsidRDefault="00000000">
      <w:r>
        <w:t>Позиционирование: «Помогаю образовательным командам структурировать вводные учебные презентации». Два сообщения раскрывают подход: сначала логика объяснения, затем визуальное оформление. Подтверждения — три кейса с исходной задачей, личными действиями и ограничениями использования материалов.</w:t>
      </w:r>
    </w:p>
    <w:p w14:paraId="6222A0F4" w14:textId="77777777" w:rsidR="00333FB4" w:rsidRDefault="00000000">
      <w:pPr>
        <w:pStyle w:val="21"/>
      </w:pPr>
      <w:r>
        <w:t>Набор решений</w:t>
      </w:r>
    </w:p>
    <w:p w14:paraId="6585A9F3" w14:textId="77777777" w:rsidR="00333FB4" w:rsidRDefault="00000000">
      <w:r>
        <w:t>Изменить заголовок профиля; подготовить один подробный кейс; добавить блок «Что входит в работу»; согласовать одинаковые формулировки в письме и презентации. Запуск ежедневного блога пока исключен: он не решает обнаруженную проблему непосредственно и увеличивает нагрузку.</w:t>
      </w:r>
    </w:p>
    <w:p w14:paraId="53D5AC0A" w14:textId="77777777" w:rsidR="00333FB4" w:rsidRDefault="00000000">
      <w:r>
        <w:t>Тест проводится с одинаковым заданием: назвать услугу, найти пример и объяснить границы работы. Если понимание улучшилось, это поддерживает выбранное направление. Если люди по-прежнему ожидают разработку полного курса, нужно уточнить границу предложения, а не просто увеличить охват.</w:t>
      </w:r>
    </w:p>
    <w:p w14:paraId="4735D087" w14:textId="77777777" w:rsidR="00333FB4" w:rsidRDefault="00000000">
      <w:r>
        <w:t>Риск проекта — использование слова «обучение» как обещания методической экспертизы, которой у автора пока нет. Поэтому формулировка ограничивается структурированием вводных материалов и не заменяет предметную проверку преподавателем. Итог стратегии — более точное представление, а не искусственно повышенный статус.</w:t>
      </w:r>
    </w:p>
    <w:p w14:paraId="768D9D29" w14:textId="77777777" w:rsidR="00333FB4" w:rsidRDefault="00000000">
      <w:pPr>
        <w:pStyle w:val="1"/>
        <w:pageBreakBefore/>
        <w:spacing w:before="0"/>
      </w:pPr>
      <w:bookmarkStart w:id="8" w:name="Section_09"/>
      <w:bookmarkEnd w:id="8"/>
      <w:r>
        <w:lastRenderedPageBreak/>
        <w:t>Самостоятельная работа: стратегический бриф</w:t>
      </w:r>
    </w:p>
    <w:p w14:paraId="31D33118" w14:textId="77777777" w:rsidR="00333FB4" w:rsidRDefault="00000000">
      <w:r>
        <w:t>Подготовьте бриф объемом 1000–1200 слов для объекта итогового проекта. Начните с двух-трех выводов аудита и отделите подтвержденные наблюдения от гипотез. Затем сформулируйте одну основную цель, приоритетную аудиторию и позиционирование.</w:t>
      </w:r>
    </w:p>
    <w:p w14:paraId="0E0F41A9" w14:textId="77777777" w:rsidR="00333FB4" w:rsidRDefault="00000000">
      <w:r>
        <w:t>Разработайте центральное сообщение и два поясняющих тезиса. Для каждого приведите подтверждение или план его получения. После этого выберите три инструмента и объясните, какую часть проблемы решает каждый. Исключите хотя бы один возможный инструмент с аргументацией: это покажет, что выбор сделан осмысленно.</w:t>
      </w:r>
    </w:p>
    <w:p w14:paraId="7A569EFF" w14:textId="77777777" w:rsidR="00333FB4" w:rsidRDefault="00000000">
      <w:pPr>
        <w:pStyle w:val="21"/>
      </w:pPr>
      <w:r>
        <w:t>Обязательные приложения</w:t>
      </w:r>
    </w:p>
    <w:p w14:paraId="681E9C16" w14:textId="77777777" w:rsidR="00333FB4" w:rsidRDefault="00000000">
      <w:r>
        <w:t>Приложите календарный план, распределение ответственности, карту трех рисков и план проверки. В показателях укажите единицу измерения, источник, срок и ограничение вывода. Не используйте условный индекс «успешности имиджа», если не можете объяснить его состав и смысл.</w:t>
      </w:r>
    </w:p>
    <w:p w14:paraId="7956F724" w14:textId="77777777" w:rsidR="00333FB4" w:rsidRDefault="00000000">
      <w:r>
        <w:t>Для взаимной рецензии задайте коллегам три вопроса: понятна ли связь с аудитом, достаточно ли подтверждены обещания и возможно ли выполнить план имеющимися ресурсами? Замечания должны относиться к логике проекта, а не только к привлекательности слогана.</w:t>
      </w:r>
    </w:p>
    <w:p w14:paraId="185429A6" w14:textId="77777777" w:rsidR="00333FB4" w:rsidRDefault="00000000">
      <w:r>
        <w:t>Оценивание: связь с диагностикой — 2 балла; цель и позиционирование — 2; сообщения и доказательства — 2; реалистичность реализации — 2; проверка и риски — 2. Максимум — 10 баллов. Стратегия с небольшим числом хорошо обоснованных решений может получить высокую оценку.</w:t>
      </w:r>
    </w:p>
    <w:p w14:paraId="6FCE8BA9" w14:textId="77777777" w:rsidR="00333FB4" w:rsidRDefault="00000000">
      <w:r>
        <w:t>Сохраните бриф как исходную версию. На следующих неделях вы подготовите визуальные, речевые и цифровые материалы. Каждый новый элемент должен быть связан с этим документом либо сопровождаться объяснением, какие данные потребовали изменить стратегию.</w:t>
      </w:r>
    </w:p>
    <w:p w14:paraId="61D0C1BC" w14:textId="77777777" w:rsidR="00333FB4" w:rsidRDefault="00000000">
      <w:pPr>
        <w:pStyle w:val="1"/>
        <w:pageBreakBefore/>
        <w:spacing w:before="0"/>
      </w:pPr>
      <w:bookmarkStart w:id="9" w:name="Section_10"/>
      <w:bookmarkEnd w:id="9"/>
      <w:r>
        <w:lastRenderedPageBreak/>
        <w:t>Самопроверка и источники</w:t>
      </w:r>
    </w:p>
    <w:p w14:paraId="20A54681" w14:textId="77777777" w:rsidR="00333FB4" w:rsidRDefault="00000000">
      <w:pPr>
        <w:pStyle w:val="21"/>
      </w:pPr>
      <w:r>
        <w:t>Вопросы</w:t>
      </w:r>
    </w:p>
    <w:p w14:paraId="7F8E8A57" w14:textId="77777777" w:rsidR="00333FB4" w:rsidRDefault="00000000">
      <w:r>
        <w:t>1. Почему план «опубликовать десять постов» не равен цели изменения имиджа? 2. Чем позиционирование отличается от слогана? 3. Что делать с привлекательным тезисом без подтверждений? 4. Почему разные каналы должны сохранять единые факты? 5. Зачем заранее определять условия отказа от решения?</w:t>
      </w:r>
    </w:p>
    <w:p w14:paraId="1A5E36C0" w14:textId="77777777" w:rsidR="00333FB4" w:rsidRDefault="00000000">
      <w:pPr>
        <w:pStyle w:val="21"/>
      </w:pPr>
      <w:r>
        <w:t>Ответы-ориентиры</w:t>
      </w:r>
    </w:p>
    <w:p w14:paraId="2B672311" w14:textId="77777777" w:rsidR="00333FB4" w:rsidRDefault="00000000">
      <w:r>
        <w:t>Публикации описывают активность, а не понимание или оценку аудитории. Позиционирование задает содержательную роль и полезность, слоган выражает часть этой идеи. Неподтвержденный тезис ограничивают, проверяют или исключают. Единые факты предотвращают противоречивые ожидания. Критерии отказа помогают не реализовывать рискованный прием только из-за уже затраченных усилий.</w:t>
      </w:r>
    </w:p>
    <w:p w14:paraId="2EB9094F" w14:textId="77777777" w:rsidR="00333FB4" w:rsidRDefault="00000000">
      <w:pPr>
        <w:pStyle w:val="21"/>
      </w:pPr>
      <w:r>
        <w:t>Итог и термины</w:t>
      </w:r>
    </w:p>
    <w:p w14:paraId="0BA6F624" w14:textId="77777777" w:rsidR="00333FB4" w:rsidRDefault="00000000">
      <w:r>
        <w:t>Стратегия — обоснованный выбор направления и средств; позиционирование — желаемая связь объекта с задачей и ценностью; ключевое сообщение — центральный тезис; доказательная база — основания утверждений; прототип — проверяемая предварительная версия; риск — возможное препятствие или нежелательное последствие.</w:t>
      </w:r>
    </w:p>
    <w:p w14:paraId="1F3D7FC6" w14:textId="77777777" w:rsidR="00333FB4" w:rsidRDefault="00000000">
      <w:r>
        <w:t>Стратегия связывает диагностику, действия и оценку. Ее качество определяется не громкостью обещания, а прослеживаемостью этой связи и реалистичностью обязательств.</w:t>
      </w:r>
    </w:p>
    <w:p w14:paraId="155B875B" w14:textId="77777777" w:rsidR="00333FB4" w:rsidRPr="00E05F9F" w:rsidRDefault="00000000">
      <w:pPr>
        <w:pStyle w:val="21"/>
        <w:rPr>
          <w:lang w:val="en-US"/>
        </w:rPr>
      </w:pPr>
      <w:r>
        <w:t>Источники</w:t>
      </w:r>
      <w:r w:rsidRPr="00E05F9F">
        <w:rPr>
          <w:lang w:val="en-US"/>
        </w:rPr>
        <w:t xml:space="preserve"> </w:t>
      </w:r>
      <w:r>
        <w:t>и</w:t>
      </w:r>
      <w:r w:rsidRPr="00E05F9F">
        <w:rPr>
          <w:lang w:val="en-US"/>
        </w:rPr>
        <w:t xml:space="preserve"> </w:t>
      </w:r>
      <w:r>
        <w:t>дальнейшее</w:t>
      </w:r>
      <w:r w:rsidRPr="00E05F9F">
        <w:rPr>
          <w:lang w:val="en-US"/>
        </w:rPr>
        <w:t xml:space="preserve"> </w:t>
      </w:r>
      <w:r>
        <w:t>чтение</w:t>
      </w:r>
    </w:p>
    <w:p w14:paraId="736458EA" w14:textId="77777777" w:rsidR="00333FB4" w:rsidRPr="00E05F9F" w:rsidRDefault="00000000">
      <w:pPr>
        <w:pStyle w:val="LectureReference"/>
        <w:rPr>
          <w:lang w:val="en-US"/>
        </w:rPr>
      </w:pPr>
      <w:r w:rsidRPr="00E05F9F">
        <w:rPr>
          <w:lang w:val="en-US"/>
        </w:rPr>
        <w:t xml:space="preserve">[1] Keller K. L. Conceptualizing, Measuring, and Managing Customer-Based Brand Equity. Journal of Marketing. 1993. Vol. 57(1). P. 1–22. </w:t>
      </w:r>
      <w:hyperlink r:id="rId8" w:history="1">
        <w:r>
          <w:rPr>
            <w:color w:val="176B72"/>
            <w:u w:val="single"/>
          </w:rPr>
          <w:t>Перейти</w:t>
        </w:r>
        <w:r w:rsidRPr="00E05F9F">
          <w:rPr>
            <w:color w:val="176B72"/>
            <w:u w:val="single"/>
            <w:lang w:val="en-US"/>
          </w:rPr>
          <w:t xml:space="preserve"> </w:t>
        </w:r>
        <w:r>
          <w:rPr>
            <w:color w:val="176B72"/>
            <w:u w:val="single"/>
          </w:rPr>
          <w:t>к</w:t>
        </w:r>
        <w:r w:rsidRPr="00E05F9F">
          <w:rPr>
            <w:color w:val="176B72"/>
            <w:u w:val="single"/>
            <w:lang w:val="en-US"/>
          </w:rPr>
          <w:t xml:space="preserve"> </w:t>
        </w:r>
        <w:r>
          <w:rPr>
            <w:color w:val="176B72"/>
            <w:u w:val="single"/>
          </w:rPr>
          <w:t>источнику</w:t>
        </w:r>
      </w:hyperlink>
      <w:r w:rsidRPr="00E05F9F">
        <w:rPr>
          <w:lang w:val="en-US"/>
        </w:rPr>
        <w:t>.</w:t>
      </w:r>
    </w:p>
    <w:p w14:paraId="6BB40550" w14:textId="77777777" w:rsidR="00333FB4" w:rsidRDefault="00000000">
      <w:pPr>
        <w:pStyle w:val="LectureReference"/>
      </w:pPr>
      <w:r w:rsidRPr="00E05F9F">
        <w:rPr>
          <w:lang w:val="en-US"/>
        </w:rPr>
        <w:t xml:space="preserve">[2] AMEC. Integrated Evaluation Framework. </w:t>
      </w:r>
      <w:r>
        <w:t xml:space="preserve">Рамка планирования и оценки коммуникаций. </w:t>
      </w:r>
      <w:hyperlink r:id="rId9" w:history="1">
        <w:r>
          <w:rPr>
            <w:color w:val="176B72"/>
            <w:u w:val="single"/>
          </w:rPr>
          <w:t>Перейти к</w:t>
        </w:r>
      </w:hyperlink>
      <w:r>
        <w:t xml:space="preserve"> </w:t>
      </w:r>
      <w:hyperlink r:id="rId10" w:history="1">
        <w:r>
          <w:rPr>
            <w:color w:val="176B72"/>
            <w:u w:val="single"/>
          </w:rPr>
          <w:t>источнику</w:t>
        </w:r>
      </w:hyperlink>
      <w:r>
        <w:t>.</w:t>
      </w:r>
    </w:p>
    <w:p w14:paraId="743CB516" w14:textId="77777777" w:rsidR="00333FB4" w:rsidRDefault="00000000">
      <w:pPr>
        <w:pStyle w:val="LectureReference"/>
      </w:pPr>
      <w:r>
        <w:t xml:space="preserve">[3] PRSA. Code of Ethics. Профессиональный этический кодекс; не заменяет применимое законодательство. </w:t>
      </w:r>
      <w:hyperlink r:id="rId11" w:history="1">
        <w:r>
          <w:rPr>
            <w:color w:val="176B72"/>
            <w:u w:val="single"/>
          </w:rPr>
          <w:t>Перейти к источнику</w:t>
        </w:r>
      </w:hyperlink>
      <w:r>
        <w:t>.</w:t>
      </w:r>
    </w:p>
    <w:p w14:paraId="57FC03E7" w14:textId="77777777" w:rsidR="00333FB4" w:rsidRDefault="00000000">
      <w:pPr>
        <w:pStyle w:val="LectureReference"/>
      </w:pPr>
      <w:r>
        <w:t>Электронные ресурсы проверялись при подготовке комплекта 27.09.2026. Академические публикации приведены для дальнейшего чтения; доступ к полному тексту может быть ограничен. Кейсы, шаблоны и задания разработаны для этого курса.</w:t>
      </w:r>
    </w:p>
    <w:sectPr w:rsidR="00333FB4" w:rsidSect="00034616">
      <w:headerReference w:type="default" r:id="rId12"/>
      <w:footerReference w:type="default" r:id="rId13"/>
      <w:pgSz w:w="11906" w:h="16838"/>
      <w:pgMar w:top="1219" w:right="1219" w:bottom="1134" w:left="1219"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2D8B0" w14:textId="77777777" w:rsidR="00697436" w:rsidRDefault="00697436">
      <w:pPr>
        <w:spacing w:after="0" w:line="240" w:lineRule="auto"/>
      </w:pPr>
      <w:r>
        <w:separator/>
      </w:r>
    </w:p>
  </w:endnote>
  <w:endnote w:type="continuationSeparator" w:id="0">
    <w:p w14:paraId="74221000" w14:textId="77777777" w:rsidR="00697436" w:rsidRDefault="0069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3755" w14:textId="2CA08DC2" w:rsidR="00333FB4" w:rsidRDefault="00000000">
    <w:pPr>
      <w:pStyle w:val="a7"/>
      <w:pBdr>
        <w:top w:val="single" w:sz="4" w:space="7" w:color="CDDAE0"/>
      </w:pBdr>
      <w:tabs>
        <w:tab w:val="right" w:pos="9468"/>
      </w:tabs>
      <w:spacing w:before="80"/>
    </w:pPr>
    <w:r>
      <w:tab/>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 </w:t>
    </w:r>
    <w:r>
      <w:rPr>
        <w:sz w:val="17"/>
      </w:rPr>
      <w:fldChar w:fldCharType="begin"/>
    </w:r>
    <w:r>
      <w:rPr>
        <w:sz w:val="17"/>
      </w:rPr>
      <w:instrText xml:space="preserve"> NUMPAGES </w:instrText>
    </w:r>
    <w:r>
      <w:rPr>
        <w:sz w:val="17"/>
      </w:rPr>
      <w:fldChar w:fldCharType="separate"/>
    </w:r>
    <w:r>
      <w:rPr>
        <w:sz w:val="17"/>
      </w:rPr>
      <w:t>10</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C9B35" w14:textId="77777777" w:rsidR="00697436" w:rsidRDefault="00697436">
      <w:pPr>
        <w:spacing w:after="0" w:line="240" w:lineRule="auto"/>
      </w:pPr>
      <w:r>
        <w:separator/>
      </w:r>
    </w:p>
  </w:footnote>
  <w:footnote w:type="continuationSeparator" w:id="0">
    <w:p w14:paraId="1C179D0E" w14:textId="77777777" w:rsidR="00697436" w:rsidRDefault="00697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35EDB" w14:textId="63F79874" w:rsidR="00333FB4" w:rsidRDefault="00000000">
    <w:pPr>
      <w:pStyle w:val="a5"/>
      <w:pBdr>
        <w:bottom w:val="single" w:sz="4" w:space="7" w:color="CDDAE0"/>
      </w:pBdr>
      <w:tabs>
        <w:tab w:val="right" w:pos="9468"/>
      </w:tabs>
      <w:spacing w:after="120"/>
    </w:pPr>
    <w:proofErr w:type="gramStart"/>
    <w:r>
      <w:rPr>
        <w:b/>
        <w:color w:val="176B72"/>
      </w:rPr>
      <w:t>ИМИДЖМЕЙКЕРСТВО  /</w:t>
    </w:r>
    <w:proofErr w:type="gramEnd"/>
    <w:r>
      <w:rPr>
        <w:b/>
        <w:color w:val="176B72"/>
      </w:rPr>
      <w:t xml:space="preserve">  ЛЕКЦИЯ 06</w:t>
    </w:r>
    <w:r>
      <w:rPr>
        <w:sz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5396474">
    <w:abstractNumId w:val="8"/>
  </w:num>
  <w:num w:numId="2" w16cid:durableId="667555744">
    <w:abstractNumId w:val="6"/>
  </w:num>
  <w:num w:numId="3" w16cid:durableId="1915384733">
    <w:abstractNumId w:val="5"/>
  </w:num>
  <w:num w:numId="4" w16cid:durableId="1122042713">
    <w:abstractNumId w:val="4"/>
  </w:num>
  <w:num w:numId="5" w16cid:durableId="165101549">
    <w:abstractNumId w:val="7"/>
  </w:num>
  <w:num w:numId="6" w16cid:durableId="284434441">
    <w:abstractNumId w:val="3"/>
  </w:num>
  <w:num w:numId="7" w16cid:durableId="730621787">
    <w:abstractNumId w:val="2"/>
  </w:num>
  <w:num w:numId="8" w16cid:durableId="589504547">
    <w:abstractNumId w:val="1"/>
  </w:num>
  <w:num w:numId="9" w16cid:durableId="1405840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3FB4"/>
    <w:rsid w:val="00697436"/>
    <w:rsid w:val="00AA1D8D"/>
    <w:rsid w:val="00B47730"/>
    <w:rsid w:val="00CB0664"/>
    <w:rsid w:val="00E05F9F"/>
    <w:rsid w:val="00F627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3CB1CB"/>
  <w14:defaultImageDpi w14:val="300"/>
  <w15:docId w15:val="{DFE4466F-F8D8-4CA1-AFD3-447D9D05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78" w:lineRule="auto"/>
    </w:pPr>
    <w:rPr>
      <w:rFonts w:ascii="Times New Roman" w:eastAsia="Times New Roman" w:hAnsi="Times New Roman" w:cs="Times New Roman"/>
      <w:color w:val="202830"/>
      <w:sz w:val="26"/>
      <w:lang w:val="ru-RU" w:eastAsia="ru-RU"/>
    </w:rPr>
  </w:style>
  <w:style w:type="paragraph" w:styleId="1">
    <w:name w:val="heading 1"/>
    <w:basedOn w:val="a1"/>
    <w:next w:val="a1"/>
    <w:link w:val="10"/>
    <w:uiPriority w:val="9"/>
    <w:qFormat/>
    <w:rsid w:val="00FC693F"/>
    <w:pPr>
      <w:keepNext/>
      <w:keepLines/>
      <w:spacing w:before="40" w:after="240" w:line="254" w:lineRule="auto"/>
      <w:outlineLvl w:val="0"/>
    </w:pPr>
    <w:rPr>
      <w:rFonts w:ascii="Arial" w:eastAsia="Arial" w:hAnsi="Arial" w:cs="Arial"/>
      <w:b/>
      <w:bCs/>
      <w:color w:val="19354A"/>
      <w:sz w:val="34"/>
      <w:szCs w:val="28"/>
    </w:rPr>
  </w:style>
  <w:style w:type="paragraph" w:styleId="21">
    <w:name w:val="heading 2"/>
    <w:basedOn w:val="a1"/>
    <w:next w:val="a1"/>
    <w:link w:val="22"/>
    <w:uiPriority w:val="9"/>
    <w:unhideWhenUsed/>
    <w:qFormat/>
    <w:rsid w:val="00FC693F"/>
    <w:pPr>
      <w:keepNext/>
      <w:keepLines/>
      <w:spacing w:before="180" w:after="120" w:line="254" w:lineRule="auto"/>
      <w:outlineLvl w:val="1"/>
    </w:pPr>
    <w:rPr>
      <w:rFonts w:ascii="Arial" w:eastAsia="Arial" w:hAnsi="Arial" w:cs="Arial"/>
      <w:b/>
      <w:bCs/>
      <w:color w:val="19354A"/>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spacing w:after="0" w:line="240" w:lineRule="auto"/>
    </w:pPr>
    <w:rPr>
      <w:rFonts w:ascii="Arial" w:eastAsia="Arial" w:hAnsi="Arial" w:cs="Arial"/>
      <w:color w:val="53616A"/>
      <w:sz w:val="16"/>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rPr>
      <w:rFonts w:ascii="Arial" w:eastAsia="Arial" w:hAnsi="Arial" w:cs="Arial"/>
      <w:color w:val="53616A"/>
      <w:sz w:val="16"/>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40" w:after="260" w:line="250" w:lineRule="auto"/>
      <w:contextualSpacing/>
    </w:pPr>
    <w:rPr>
      <w:rFonts w:ascii="Arial" w:eastAsia="Arial" w:hAnsi="Arial" w:cs="Arial"/>
      <w:b/>
      <w:color w:val="19354A"/>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spacing w:after="240" w:line="259" w:lineRule="auto"/>
    </w:pPr>
    <w:rPr>
      <w:rFonts w:ascii="Arial" w:eastAsia="Arial" w:hAnsi="Arial" w:cs="Arial"/>
      <w:b/>
      <w:iCs/>
      <w:color w:val="176B72"/>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ctureReference">
    <w:name w:val="Lecture Reference"/>
    <w:pPr>
      <w:spacing w:after="100" w:line="269" w:lineRule="auto"/>
    </w:pPr>
    <w:rPr>
      <w:rFonts w:ascii="Arial" w:eastAsia="Arial" w:hAnsi="Arial" w:cs="Arial"/>
      <w:color w:val="53616A"/>
      <w:sz w:val="18"/>
      <w:lang w:val="ru-RU" w:eastAsia="ru-RU"/>
    </w:rPr>
  </w:style>
  <w:style w:type="paragraph" w:customStyle="1" w:styleId="LectureCallout">
    <w:name w:val="Lecture Callout"/>
    <w:pPr>
      <w:spacing w:after="100" w:line="269" w:lineRule="auto"/>
    </w:pPr>
    <w:rPr>
      <w:rFonts w:ascii="Arial" w:eastAsia="Arial" w:hAnsi="Arial" w:cs="Arial"/>
      <w:color w:val="19354A"/>
      <w:lang w:val="ru-RU" w:eastAsia="ru-RU"/>
    </w:rPr>
  </w:style>
  <w:style w:type="paragraph" w:customStyle="1" w:styleId="LectureTable">
    <w:name w:val="Lecture Table"/>
    <w:pPr>
      <w:spacing w:after="100" w:line="269" w:lineRule="auto"/>
    </w:pPr>
    <w:rPr>
      <w:rFonts w:ascii="Arial" w:eastAsia="Arial" w:hAnsi="Arial" w:cs="Arial"/>
      <w:color w:val="19354A"/>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125205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sa.org/professional-development/prsa-resources/ethic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mecorg.com/amecframework/" TargetMode="External"/><Relationship Id="rId4" Type="http://schemas.openxmlformats.org/officeDocument/2006/relationships/settings" Target="settings.xml"/><Relationship Id="rId9" Type="http://schemas.openxmlformats.org/officeDocument/2006/relationships/hyperlink" Target="https://amecorg.com/amecframewor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2719</Words>
  <Characters>15503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Стратегия формирования имиджа</dc:title>
  <dc:subject>Имиджмейкерство. Лекция 06. Дистанционный курс для бакалавриата.</dc:subject>
  <dc:creator/>
  <cp:keywords>имиджмейкерство, лекция, бакалавриат, дистанционное обучение</cp:keywords>
  <dc:description/>
  <cp:lastModifiedBy>Mikhail Sizov</cp:lastModifiedBy>
  <cp:revision>3</cp:revision>
  <dcterms:created xsi:type="dcterms:W3CDTF">2013-12-23T23:15:00Z</dcterms:created>
  <dcterms:modified xsi:type="dcterms:W3CDTF">2026-09-27T19:50:00Z</dcterms:modified>
  <cp:category/>
</cp:coreProperties>
</file>