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58AAA" w14:textId="77777777" w:rsidR="002F77E5" w:rsidRDefault="00000000">
      <w:pPr>
        <w:pStyle w:val="aa"/>
        <w:spacing w:before="0"/>
      </w:pPr>
      <w:bookmarkStart w:id="0" w:name="Section_01"/>
      <w:bookmarkEnd w:id="0"/>
      <w:r>
        <w:t>Диагностика и аудит имиджа</w:t>
      </w:r>
    </w:p>
    <w:p w14:paraId="38A58688" w14:textId="77777777" w:rsidR="002F77E5" w:rsidRDefault="00000000">
      <w:pPr>
        <w:pStyle w:val="ac"/>
      </w:pPr>
      <w:r>
        <w:t>От общего впечатления к исследовательскому вопросу</w:t>
      </w:r>
    </w:p>
    <w:p w14:paraId="4126E307" w14:textId="77777777" w:rsidR="002F77E5" w:rsidRDefault="00000000">
      <w:r>
        <w:t>Имиджевый аудит — систематизированное изучение того, как объект представлен и как доступные материалы воспринимаются выбранной аудиторией. Его результатом должна быть не оценка «хорошо» или «плохо», а обоснованное описание проблемы, возможных причин и ограничений имеющихся данных.</w:t>
      </w:r>
    </w:p>
    <w:p w14:paraId="0BE0524C" w14:textId="77777777" w:rsidR="002F77E5" w:rsidRDefault="00000000">
      <w:r>
        <w:t>Важно различать аудит материалов и исследование восприятия. Анализ сайта показывает, что опубликовано. Интервью помогает понять, как участники это интерпретируют. Отзывы отражают опыт определенных авторов, но не автоматически мнение всех клиентов. Эти источники отвечают на разные вопросы и могут дополнять, а не заменять друг друга.</w:t>
      </w:r>
    </w:p>
    <w:p w14:paraId="37C1DD6A" w14:textId="77777777" w:rsidR="002F77E5" w:rsidRDefault="00000000">
      <w:pPr>
        <w:pStyle w:val="21"/>
      </w:pPr>
      <w:r>
        <w:t>Результаты изучения темы</w:t>
      </w:r>
    </w:p>
    <w:p w14:paraId="23580101" w14:textId="77777777" w:rsidR="002F77E5" w:rsidRDefault="00000000">
      <w:r>
        <w:t>Студент научится ставить вопрос аудита; выбирать подходящий метод; составлять короткое интервью и анкету; фиксировать правила отбора материалов; кодировать наблюдения; рассчитывать простые описательные показатели и формулировать выводы соразмерно данным.</w:t>
      </w:r>
    </w:p>
    <w:p w14:paraId="022B4082" w14:textId="77777777" w:rsidR="002F77E5" w:rsidRDefault="00000000">
      <w:r>
        <w:t>Рабочая последовательность: вопрос — наблюдаемый показатель — источник — процедура — анализ — ограничение. Если пропустить определение показателя, исследователь рискует собрать много информации, которая не отвечает на исходную задачу. Если не описать отбор, читатель не сможет оценить границы вывода.</w:t>
      </w:r>
    </w:p>
    <w:p w14:paraId="50567718" w14:textId="77777777" w:rsidR="002F77E5"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«Нам не доверяют» — исходное предположение. «Участники не находят подтверждений опыта в портфолио» — более конкретная гипотеза, которую можно проверять.</w:t>
      </w:r>
    </w:p>
    <w:p w14:paraId="2023B295" w14:textId="77777777" w:rsidR="002F77E5" w:rsidRDefault="00000000">
      <w:r>
        <w:t>Рекомендации AAPOR по качеству опросов и материалы Pew Research Center о вопросах используются здесь как методические ориентиры [1; 2]. Приведенные далее формы — учебные инструменты, а не стандартизированные психологические тесты.</w:t>
      </w:r>
    </w:p>
    <w:p w14:paraId="1486C6F6" w14:textId="77777777" w:rsidR="002F77E5" w:rsidRDefault="00000000">
      <w:pPr>
        <w:pStyle w:val="1"/>
        <w:pageBreakBefore/>
        <w:spacing w:before="0"/>
      </w:pPr>
      <w:bookmarkStart w:id="1" w:name="Section_02"/>
      <w:bookmarkEnd w:id="1"/>
      <w:r>
        <w:lastRenderedPageBreak/>
        <w:t>Операционализация: что именно измерять</w:t>
      </w:r>
    </w:p>
    <w:p w14:paraId="118B9420" w14:textId="77777777" w:rsidR="002F77E5" w:rsidRDefault="00000000">
      <w:r>
        <w:t>Операционализация переводит абстрактное понятие в доступные наблюдения. Если цель касается понятности профессионального профиля, можно проверить, способен ли участник назвать роль автора и характер задач. Если изучается доступность подтверждений, фиксируют, нашел ли он пример и сколько уточнений понадобилось.</w:t>
      </w:r>
    </w:p>
    <w:p w14:paraId="32BE516A" w14:textId="77777777" w:rsidR="002F77E5" w:rsidRDefault="00000000">
      <w:r>
        <w:t>Одно понятие может включать несколько измерений. «Надежность» для одних участников связана с точностью информации, для других — со сроками взаимодействия. Поэтому сначала выясняют содержание понятия в данной ситуации, а затем выбирают вопросы. Иначе одинаковые числа могут скрывать разные основания ответов.</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651"/>
        <w:gridCol w:w="2840"/>
        <w:gridCol w:w="3977"/>
      </w:tblGrid>
      <w:tr w:rsidR="002F77E5" w14:paraId="6CE93C7A" w14:textId="77777777">
        <w:trPr>
          <w:cantSplit/>
          <w:tblHeader/>
          <w:jc w:val="center"/>
        </w:trPr>
        <w:tc>
          <w:tcPr>
            <w:tcW w:w="2651" w:type="dxa"/>
            <w:shd w:val="clear" w:color="auto" w:fill="19354A"/>
          </w:tcPr>
          <w:p w14:paraId="4A46156A" w14:textId="77777777" w:rsidR="002F77E5" w:rsidRDefault="00000000">
            <w:pPr>
              <w:pStyle w:val="LectureTable"/>
              <w:keepNext/>
              <w:spacing w:after="0"/>
            </w:pPr>
            <w:r>
              <w:rPr>
                <w:b/>
                <w:color w:val="FFFFFF"/>
              </w:rPr>
              <w:t>Исследовательский вопрос</w:t>
            </w:r>
          </w:p>
        </w:tc>
        <w:tc>
          <w:tcPr>
            <w:tcW w:w="2840" w:type="dxa"/>
            <w:shd w:val="clear" w:color="auto" w:fill="19354A"/>
          </w:tcPr>
          <w:p w14:paraId="7DB06F67" w14:textId="77777777" w:rsidR="002F77E5" w:rsidRDefault="00000000">
            <w:pPr>
              <w:pStyle w:val="LectureTable"/>
              <w:keepNext/>
              <w:spacing w:after="0"/>
            </w:pPr>
            <w:r>
              <w:rPr>
                <w:b/>
                <w:color w:val="FFFFFF"/>
              </w:rPr>
              <w:t>Наблюдаемый признак</w:t>
            </w:r>
          </w:p>
        </w:tc>
        <w:tc>
          <w:tcPr>
            <w:tcW w:w="3977" w:type="dxa"/>
            <w:shd w:val="clear" w:color="auto" w:fill="19354A"/>
          </w:tcPr>
          <w:p w14:paraId="74AEB1D5" w14:textId="77777777" w:rsidR="002F77E5" w:rsidRDefault="00000000">
            <w:pPr>
              <w:pStyle w:val="LectureTable"/>
              <w:keepNext/>
              <w:spacing w:after="0"/>
            </w:pPr>
            <w:r>
              <w:rPr>
                <w:b/>
                <w:color w:val="FFFFFF"/>
              </w:rPr>
              <w:t>Метод</w:t>
            </w:r>
          </w:p>
        </w:tc>
      </w:tr>
      <w:tr w:rsidR="002F77E5" w14:paraId="7FDDEC9F" w14:textId="77777777">
        <w:trPr>
          <w:cantSplit/>
          <w:jc w:val="center"/>
        </w:trPr>
        <w:tc>
          <w:tcPr>
            <w:tcW w:w="2651" w:type="dxa"/>
            <w:shd w:val="clear" w:color="auto" w:fill="F0F4F6"/>
          </w:tcPr>
          <w:p w14:paraId="4AC1F727" w14:textId="77777777" w:rsidR="002F77E5" w:rsidRDefault="00000000">
            <w:pPr>
              <w:pStyle w:val="LectureTable"/>
              <w:keepNext/>
              <w:spacing w:after="0"/>
            </w:pPr>
            <w:r>
              <w:t>Понятна ли специализация?</w:t>
            </w:r>
          </w:p>
        </w:tc>
        <w:tc>
          <w:tcPr>
            <w:tcW w:w="2840" w:type="dxa"/>
            <w:shd w:val="clear" w:color="auto" w:fill="F0F4F6"/>
          </w:tcPr>
          <w:p w14:paraId="0E335D20" w14:textId="77777777" w:rsidR="002F77E5" w:rsidRDefault="00000000">
            <w:pPr>
              <w:pStyle w:val="LectureTable"/>
              <w:keepNext/>
              <w:spacing w:after="0"/>
            </w:pPr>
            <w:r>
              <w:t>Пересказ роли без подсказки</w:t>
            </w:r>
          </w:p>
        </w:tc>
        <w:tc>
          <w:tcPr>
            <w:tcW w:w="3977" w:type="dxa"/>
            <w:shd w:val="clear" w:color="auto" w:fill="F0F4F6"/>
          </w:tcPr>
          <w:p w14:paraId="638852D0" w14:textId="77777777" w:rsidR="002F77E5" w:rsidRDefault="00000000">
            <w:pPr>
              <w:pStyle w:val="LectureTable"/>
              <w:keepNext/>
              <w:spacing w:after="0"/>
            </w:pPr>
            <w:r>
              <w:t>Короткий тест понимания</w:t>
            </w:r>
          </w:p>
        </w:tc>
      </w:tr>
      <w:tr w:rsidR="002F77E5" w14:paraId="24480C92" w14:textId="77777777">
        <w:trPr>
          <w:cantSplit/>
          <w:jc w:val="center"/>
        </w:trPr>
        <w:tc>
          <w:tcPr>
            <w:tcW w:w="2651" w:type="dxa"/>
            <w:shd w:val="clear" w:color="auto" w:fill="FFFFFF"/>
          </w:tcPr>
          <w:p w14:paraId="7FCB81A6" w14:textId="77777777" w:rsidR="002F77E5" w:rsidRDefault="00000000">
            <w:pPr>
              <w:pStyle w:val="LectureTable"/>
              <w:keepNext/>
              <w:spacing w:after="0"/>
            </w:pPr>
            <w:r>
              <w:t>Видны ли доказательства?</w:t>
            </w:r>
          </w:p>
        </w:tc>
        <w:tc>
          <w:tcPr>
            <w:tcW w:w="2840" w:type="dxa"/>
            <w:shd w:val="clear" w:color="auto" w:fill="FFFFFF"/>
          </w:tcPr>
          <w:p w14:paraId="3D39C11B" w14:textId="77777777" w:rsidR="002F77E5" w:rsidRDefault="00000000">
            <w:pPr>
              <w:pStyle w:val="LectureTable"/>
              <w:keepNext/>
              <w:spacing w:after="0"/>
            </w:pPr>
            <w:r>
              <w:t>Найденный участником пример</w:t>
            </w:r>
          </w:p>
        </w:tc>
        <w:tc>
          <w:tcPr>
            <w:tcW w:w="3977" w:type="dxa"/>
            <w:shd w:val="clear" w:color="auto" w:fill="FFFFFF"/>
          </w:tcPr>
          <w:p w14:paraId="6BB1EFC3" w14:textId="77777777" w:rsidR="002F77E5" w:rsidRDefault="00000000">
            <w:pPr>
              <w:pStyle w:val="LectureTable"/>
              <w:keepNext/>
              <w:spacing w:after="0"/>
            </w:pPr>
            <w:r>
              <w:t>Наблюдение за просмотром</w:t>
            </w:r>
          </w:p>
        </w:tc>
      </w:tr>
      <w:tr w:rsidR="002F77E5" w14:paraId="7FE2D468" w14:textId="77777777">
        <w:trPr>
          <w:cantSplit/>
          <w:jc w:val="center"/>
        </w:trPr>
        <w:tc>
          <w:tcPr>
            <w:tcW w:w="2651" w:type="dxa"/>
            <w:shd w:val="clear" w:color="auto" w:fill="F0F4F6"/>
          </w:tcPr>
          <w:p w14:paraId="7B16F2E9" w14:textId="77777777" w:rsidR="002F77E5" w:rsidRDefault="00000000">
            <w:pPr>
              <w:pStyle w:val="LectureTable"/>
              <w:keepNext/>
              <w:spacing w:after="0"/>
            </w:pPr>
            <w:r>
              <w:t>Что вызывает сомнение?</w:t>
            </w:r>
          </w:p>
        </w:tc>
        <w:tc>
          <w:tcPr>
            <w:tcW w:w="2840" w:type="dxa"/>
            <w:shd w:val="clear" w:color="auto" w:fill="F0F4F6"/>
          </w:tcPr>
          <w:p w14:paraId="3A71C57D" w14:textId="77777777" w:rsidR="002F77E5" w:rsidRDefault="00000000">
            <w:pPr>
              <w:pStyle w:val="LectureTable"/>
              <w:keepNext/>
              <w:spacing w:after="0"/>
            </w:pPr>
            <w:r>
              <w:t>Конкретный фрагмент и объяснение</w:t>
            </w:r>
          </w:p>
        </w:tc>
        <w:tc>
          <w:tcPr>
            <w:tcW w:w="3977" w:type="dxa"/>
            <w:shd w:val="clear" w:color="auto" w:fill="F0F4F6"/>
          </w:tcPr>
          <w:p w14:paraId="39B2152B" w14:textId="77777777" w:rsidR="002F77E5" w:rsidRDefault="00000000">
            <w:pPr>
              <w:pStyle w:val="LectureTable"/>
              <w:keepNext/>
              <w:spacing w:after="0"/>
            </w:pPr>
            <w:r>
              <w:t>Интервью</w:t>
            </w:r>
          </w:p>
        </w:tc>
      </w:tr>
      <w:tr w:rsidR="002F77E5" w14:paraId="4E13317A" w14:textId="77777777">
        <w:trPr>
          <w:cantSplit/>
          <w:jc w:val="center"/>
        </w:trPr>
        <w:tc>
          <w:tcPr>
            <w:tcW w:w="2651" w:type="dxa"/>
            <w:shd w:val="clear" w:color="auto" w:fill="FFFFFF"/>
          </w:tcPr>
          <w:p w14:paraId="3BFB860E" w14:textId="77777777" w:rsidR="002F77E5" w:rsidRDefault="00000000">
            <w:pPr>
              <w:pStyle w:val="LectureTable"/>
              <w:spacing w:after="0"/>
            </w:pPr>
            <w:r>
              <w:t>Соответствуют ли обещания опыту?</w:t>
            </w:r>
          </w:p>
        </w:tc>
        <w:tc>
          <w:tcPr>
            <w:tcW w:w="2840" w:type="dxa"/>
            <w:shd w:val="clear" w:color="auto" w:fill="FFFFFF"/>
          </w:tcPr>
          <w:p w14:paraId="3B528CB2" w14:textId="77777777" w:rsidR="002F77E5" w:rsidRDefault="00000000">
            <w:pPr>
              <w:pStyle w:val="LectureTable"/>
              <w:spacing w:after="0"/>
            </w:pPr>
            <w:r>
              <w:t>Сопоставление заявления и эпизода</w:t>
            </w:r>
          </w:p>
        </w:tc>
        <w:tc>
          <w:tcPr>
            <w:tcW w:w="3977" w:type="dxa"/>
            <w:shd w:val="clear" w:color="auto" w:fill="FFFFFF"/>
          </w:tcPr>
          <w:p w14:paraId="68EC58AF" w14:textId="77777777" w:rsidR="002F77E5" w:rsidRDefault="00000000">
            <w:pPr>
              <w:pStyle w:val="LectureTable"/>
              <w:spacing w:after="0"/>
            </w:pPr>
            <w:r>
              <w:t>Документы и описание опыта</w:t>
            </w:r>
          </w:p>
        </w:tc>
      </w:tr>
    </w:tbl>
    <w:p w14:paraId="515DF17B" w14:textId="77777777" w:rsidR="002F77E5" w:rsidRDefault="002F77E5">
      <w:pPr>
        <w:spacing w:after="0" w:line="120" w:lineRule="exact"/>
      </w:pPr>
    </w:p>
    <w:p w14:paraId="1C05E58F" w14:textId="77777777" w:rsidR="002F77E5" w:rsidRDefault="00000000">
      <w:r>
        <w:t>Не все признаки нужно сводить к единому индексу. Читаемость, уровень знакомства с объектом и намерение обратиться могут различаться по смыслу. Усреднение несвязанных вопросов создает видимость точности, но не обязательно измеряет понятный конструкт.</w:t>
      </w:r>
    </w:p>
    <w:p w14:paraId="29446BAD" w14:textId="77777777" w:rsidR="002F77E5" w:rsidRDefault="00000000">
      <w:r>
        <w:t>Для каждого показателя составьте паспорт: определение, вопрос или правило наблюдения, шкала, источник и допустимый вывод. Например: доля участников, правильно назвавших роль, относится к конкретному тесту. Она не показывает общую репутацию специалиста в обществе.</w:t>
      </w:r>
    </w:p>
    <w:p w14:paraId="40E3A5B0" w14:textId="77777777" w:rsidR="002F77E5" w:rsidRDefault="00000000">
      <w:r>
        <w:t>Хорошая операционализация позволяет заранее представить, как будут выглядеть данные и какое решение можно принять при разных результатах. Если ответ никак не влияет на дальнейшую работу, вопрос, возможно, лишний.</w:t>
      </w:r>
    </w:p>
    <w:p w14:paraId="7858229B" w14:textId="77777777" w:rsidR="002F77E5" w:rsidRDefault="00000000">
      <w:pPr>
        <w:pStyle w:val="1"/>
        <w:pageBreakBefore/>
        <w:spacing w:before="0"/>
      </w:pPr>
      <w:bookmarkStart w:id="2" w:name="Section_03"/>
      <w:bookmarkEnd w:id="2"/>
      <w:r>
        <w:lastRenderedPageBreak/>
        <w:t>Источники, выборка и границы обобщения</w:t>
      </w:r>
    </w:p>
    <w:p w14:paraId="6834940F" w14:textId="77777777" w:rsidR="002F77E5" w:rsidRDefault="00000000">
      <w:r>
        <w:t>Источники аудита могут включать публичные материалы объекта, внутренние документы с разрешения, интервью, анкетные ответы, наблюдение и отзывы. До сбора данных задают период и критерии включения. Например, анализируются все публикации профессионального профиля за выбранный месяц, а не только наиболее удачные примеры.</w:t>
      </w:r>
    </w:p>
    <w:p w14:paraId="4420F81D" w14:textId="77777777" w:rsidR="002F77E5" w:rsidRDefault="00000000">
      <w:r>
        <w:t>Единица анализа должна быть названа: отдельная публикация, эпизод обращения, страница или участник. Десять комментариев одного человека не равны десяти независимым респондентам. Повторные сообщения необходимо распознавать, иначе активный автор получит непропорциональный вес.</w:t>
      </w:r>
    </w:p>
    <w:p w14:paraId="3FDB4342" w14:textId="77777777" w:rsidR="002F77E5" w:rsidRDefault="00000000">
      <w:pPr>
        <w:pStyle w:val="21"/>
      </w:pPr>
      <w:r>
        <w:t>Что означает учебная выборка</w:t>
      </w:r>
    </w:p>
    <w:p w14:paraId="59B002D5" w14:textId="77777777" w:rsidR="002F77E5" w:rsidRDefault="00000000">
      <w:r>
        <w:t>Удобная выборка состоит из доступных добровольцев. Она полезна для пилотирования вопросов и поиска проблем, но не обеспечивает представительность всех клиентов. Вероятностная выборка требует соответствующей процедуры отбора. В учебном отчете нельзя писать «опрос доказал мнение аудитории», не объяснив, кто участвовал и как был приглашен [1].</w:t>
      </w:r>
    </w:p>
    <w:p w14:paraId="506986A3" w14:textId="77777777" w:rsidR="002F77E5" w:rsidRDefault="00000000">
      <w:r>
        <w:t>Прозрачное описание включает число приглашенных и ответивших, критерии участия, период и исключения. Если часть участников уже знакома с объектом, это отмечают отдельно. Их ответы могут опираться не только на показанный материал, но и на предыдущий опыт.</w:t>
      </w:r>
    </w:p>
    <w:p w14:paraId="7B5EEC36" w14:textId="77777777" w:rsidR="002F77E5" w:rsidRDefault="00000000">
      <w:r>
        <w:t>Отзывы следует анализировать с учетом самоотбора: публично высказываются не все. Нельзя считать долю критических сообщений точной долей недовольных клиентов без дополнительных оснований. Однако конкретные описания затруднений могут помочь сформулировать вопросы для дальнейшей проверки.</w:t>
      </w:r>
    </w:p>
    <w:p w14:paraId="0398BB06" w14:textId="77777777" w:rsidR="002F77E5" w:rsidRDefault="00000000">
      <w:r>
        <w:t>Собирайте только необходимые сведения. Для задания о понимании профиля обычно не нужны личные адреса, документы или подробности частной жизни. Согласуйте хранение записей и обезличьте цитаты перед включением в отчет.</w:t>
      </w:r>
    </w:p>
    <w:p w14:paraId="154B7BC5" w14:textId="77777777" w:rsidR="002F77E5"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Прозрачное ограничение выборки делает вывод полезнее, чем необоснованное заявление о его универсальности.</w:t>
      </w:r>
    </w:p>
    <w:p w14:paraId="0BD7FCF3" w14:textId="77777777" w:rsidR="002F77E5" w:rsidRDefault="00000000">
      <w:pPr>
        <w:pStyle w:val="1"/>
        <w:pageBreakBefore/>
        <w:spacing w:before="0"/>
      </w:pPr>
      <w:bookmarkStart w:id="3" w:name="Section_04"/>
      <w:bookmarkEnd w:id="3"/>
      <w:r>
        <w:lastRenderedPageBreak/>
        <w:t>Интервью и наблюдение за просмотром</w:t>
      </w:r>
    </w:p>
    <w:p w14:paraId="780FBB95" w14:textId="77777777" w:rsidR="002F77E5" w:rsidRDefault="00000000">
      <w:r>
        <w:t>Интервью полезно, когда нужно понять основания оценки и язык аудитории. В начале объясняют учебную цель, добровольность и порядок использования ответов. Затем предлагают конкретный материал или эпизод. Вопросы о пережитом опыте обычно дают больше предметных деталей, чем просьба рассуждать об «идеальном имидже» вообще.</w:t>
      </w:r>
    </w:p>
    <w:p w14:paraId="0E9C4402" w14:textId="77777777" w:rsidR="002F77E5" w:rsidRDefault="00000000">
      <w:r>
        <w:t>Предлагаемая последовательность: «Что вы поняли?», «На чем основан вывод?», «Что осталось неясным?», «Где искали подтверждение?», «Какое уточнение помогло бы?». Не стоит начинать с «Вы согласны, что этот профиль вызывает доверие?»: формулировка уже предлагает желательный ответ.</w:t>
      </w:r>
    </w:p>
    <w:p w14:paraId="1BE9C464" w14:textId="77777777" w:rsidR="002F77E5" w:rsidRDefault="00000000">
      <w:pPr>
        <w:pStyle w:val="21"/>
      </w:pPr>
      <w:r>
        <w:t>Наблюдение</w:t>
      </w:r>
    </w:p>
    <w:p w14:paraId="721FE4A0" w14:textId="77777777" w:rsidR="002F77E5" w:rsidRDefault="00000000">
      <w:r>
        <w:t>При просмотре можно попросить участника найти специализацию, условия услуги и пример работы. Исследователь фиксирует маршрут, уточняющие вопросы и найденные сведения. Если участник комментирует действия вслух, необходимо помнить, что само проговаривание может менять привычный просмотр. Это ограничение процедуры, а не причина отказаться от нее.</w:t>
      </w:r>
    </w:p>
    <w:p w14:paraId="4C92C616" w14:textId="77777777" w:rsidR="002F77E5" w:rsidRDefault="00000000">
      <w:r>
        <w:t>Не помогайте раньше времени. Подсказка «нажмите на портфолио» превращает проверку самостоятельного поиска в обучение навигации. Если помощь понадобилась, запишите ее отдельно и не считайте найденную после подсказки информацию результатом исходного материала.</w:t>
      </w:r>
    </w:p>
    <w:p w14:paraId="35C60C7D" w14:textId="77777777" w:rsidR="002F77E5" w:rsidRDefault="00000000">
      <w:r>
        <w:t>После беседы отделите цитаты от аналитических заметок. Цитата воспроизводит сказанное с сохранением смысла. Интерпретация исследователя объясняет возможное значение. При сокращении нельзя превращать условный или критический ответ в однозначно положительное свидетельство.</w:t>
      </w:r>
    </w:p>
    <w:p w14:paraId="09D9F0BA" w14:textId="77777777" w:rsidR="002F77E5" w:rsidRDefault="00000000">
      <w:r>
        <w:t>Полезен краткий меморандум: основные наблюдения, неожиданные ответы, спорные интерпретации и вопросы следующего интервью. Не ищите только подтверждения первоначального диагноза. Слова участника могут показать, что проблема находится в другом месте — например, в условиях услуги, а не в оформлении страницы.</w:t>
      </w:r>
    </w:p>
    <w:p w14:paraId="08F4D6D5" w14:textId="77777777" w:rsidR="002F77E5" w:rsidRDefault="00000000">
      <w:pPr>
        <w:pStyle w:val="1"/>
        <w:pageBreakBefore/>
        <w:spacing w:before="0"/>
      </w:pPr>
      <w:bookmarkStart w:id="4" w:name="Section_05"/>
      <w:bookmarkEnd w:id="4"/>
      <w:r>
        <w:lastRenderedPageBreak/>
        <w:t>Анкета и шкалы восприятия</w:t>
      </w:r>
    </w:p>
    <w:p w14:paraId="33E252E4" w14:textId="77777777" w:rsidR="002F77E5" w:rsidRDefault="00000000">
      <w:r>
        <w:t>Анкета подходит для одинакового предъявления вопросов нескольким участникам. Ее качество зависит не только от числа ответов, но и от формулировок. Материалы Pew Research Center обращают внимание на ясность вопросов, влияние их порядка и необходимость предварительной проверки [2]. В учебном проекте достаточно короткого инструмента, непосредственно связанного с задачей.</w:t>
      </w:r>
    </w:p>
    <w:p w14:paraId="0C92C06F" w14:textId="77777777" w:rsidR="002F77E5" w:rsidRDefault="00000000">
      <w:r>
        <w:t>Не объединяйте разные признаки: «Насколько профиль понятный и убедительный?» затрудняет ответ человека, который считает его понятным, но недостаточно подтвержденным. Разделите вопросы. Также избегайте жаргона и предложений, на которые респондент не может ответить по доступному материалу.</w:t>
      </w:r>
    </w:p>
    <w:p w14:paraId="74ED205D" w14:textId="77777777" w:rsidR="002F77E5" w:rsidRDefault="00000000">
      <w:pPr>
        <w:pStyle w:val="21"/>
      </w:pPr>
      <w:r>
        <w:t>Пример учебного блока</w:t>
      </w:r>
    </w:p>
    <w:p w14:paraId="47FF78E9" w14:textId="77777777" w:rsidR="002F77E5" w:rsidRDefault="00000000">
      <w:r>
        <w:t>После просмотра участник отвечает: какую роль он увидел; насколько ясно описаны задачи; насколько легко найти пример работы; какие сведения требуют уточнения. Для оценок можно использовать шкалу от 1 «совсем не ясно» до 5 «полностью ясно», отдельно предусмотрев «не могу оценить». Эта категория не равна среднему баллу.</w:t>
      </w:r>
    </w:p>
    <w:p w14:paraId="2ECE567E" w14:textId="77777777" w:rsidR="002F77E5" w:rsidRDefault="00000000">
      <w:r>
        <w:t>Семантический дифференциал использует пары противоположных характеристик. Для учебного теста подойдет «непонятное — понятное описание». Однако случайные пары вроде «скучный — надежный» не являются противоположностями. Перед использованием необходимо проверить, одинаково ли участники понимают оба полюса.</w:t>
      </w:r>
    </w:p>
    <w:p w14:paraId="3CD8DD11" w14:textId="77777777" w:rsidR="002F77E5" w:rsidRDefault="00000000">
      <w:r>
        <w:t>Шкала Лайкерта в строгом смысле обычно относится к набору утверждений, оцениваемых по степени согласия. Отдельный ответ на пятибалльный вопрос не превращает инструмент в валидированный индекс. Если вопросы объединяются, требуется содержательное обоснование и дополнительная проверка качества измерения.</w:t>
      </w:r>
    </w:p>
    <w:p w14:paraId="66A59EFA" w14:textId="77777777" w:rsidR="002F77E5" w:rsidRDefault="00000000">
      <w:r>
        <w:t>Начните с пилота на нескольких добровольцах. Спросите, как они поняли формулировку и почему выбрали ответ. Исправляйте неоднозначности до основного сбора; изменения между волнами документируйте, поскольку они могут нарушать сопоставимость.</w:t>
      </w:r>
    </w:p>
    <w:p w14:paraId="7AD0D9CC" w14:textId="77777777" w:rsidR="002F77E5" w:rsidRDefault="00000000">
      <w:pPr>
        <w:pStyle w:val="1"/>
        <w:pageBreakBefore/>
        <w:spacing w:before="0"/>
      </w:pPr>
      <w:bookmarkStart w:id="5" w:name="Section_06"/>
      <w:bookmarkEnd w:id="5"/>
      <w:r>
        <w:lastRenderedPageBreak/>
        <w:t>Контент-анализ и кодировочная схема</w:t>
      </w:r>
    </w:p>
    <w:p w14:paraId="3940666A" w14:textId="77777777" w:rsidR="002F77E5" w:rsidRDefault="00000000">
      <w:r>
        <w:t>Контент-анализ позволяет систематически описывать материалы по заранее определенным категориям. Например, в публикациях можно фиксировать наличие профессиональной задачи, конкретного примера, источника утверждения, ограничения и способа обратной связи. Важно отличать наличие элемента от его качества и от реакции аудитории.</w:t>
      </w:r>
    </w:p>
    <w:p w14:paraId="76A5BB5C" w14:textId="77777777" w:rsidR="002F77E5" w:rsidRDefault="00000000">
      <w:r>
        <w:t>Кодировочная схема содержит название категории, определение, правило включения и пример. Если категория называется «доказательство», необходимо уточнить, что считается подтверждением: ссылка на работу, описание метода, проверяемый результат. Общая фраза «нам доверяют» не должна автоматически получать тот же код, что и доступный пример проекта.</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2F77E5" w14:paraId="309CE27E" w14:textId="77777777">
        <w:trPr>
          <w:cantSplit/>
          <w:tblHeader/>
          <w:jc w:val="center"/>
        </w:trPr>
        <w:tc>
          <w:tcPr>
            <w:tcW w:w="2272" w:type="dxa"/>
            <w:shd w:val="clear" w:color="auto" w:fill="19354A"/>
          </w:tcPr>
          <w:p w14:paraId="4F11A3DE" w14:textId="77777777" w:rsidR="002F77E5" w:rsidRDefault="00000000">
            <w:pPr>
              <w:pStyle w:val="LectureTable"/>
              <w:keepNext/>
              <w:spacing w:after="0"/>
            </w:pPr>
            <w:r>
              <w:rPr>
                <w:b/>
                <w:color w:val="FFFFFF"/>
              </w:rPr>
              <w:t>Категория</w:t>
            </w:r>
          </w:p>
        </w:tc>
        <w:tc>
          <w:tcPr>
            <w:tcW w:w="3030" w:type="dxa"/>
            <w:shd w:val="clear" w:color="auto" w:fill="19354A"/>
          </w:tcPr>
          <w:p w14:paraId="72C867C4" w14:textId="77777777" w:rsidR="002F77E5" w:rsidRDefault="00000000">
            <w:pPr>
              <w:pStyle w:val="LectureTable"/>
              <w:keepNext/>
              <w:spacing w:after="0"/>
            </w:pPr>
            <w:r>
              <w:rPr>
                <w:b/>
                <w:color w:val="FFFFFF"/>
              </w:rPr>
              <w:t>Код «есть»</w:t>
            </w:r>
          </w:p>
        </w:tc>
        <w:tc>
          <w:tcPr>
            <w:tcW w:w="4166" w:type="dxa"/>
            <w:shd w:val="clear" w:color="auto" w:fill="19354A"/>
          </w:tcPr>
          <w:p w14:paraId="0D41CE88" w14:textId="77777777" w:rsidR="002F77E5" w:rsidRDefault="00000000">
            <w:pPr>
              <w:pStyle w:val="LectureTable"/>
              <w:keepNext/>
              <w:spacing w:after="0"/>
            </w:pPr>
            <w:r>
              <w:rPr>
                <w:b/>
                <w:color w:val="FFFFFF"/>
              </w:rPr>
              <w:t>Не считать подтверждением</w:t>
            </w:r>
          </w:p>
        </w:tc>
      </w:tr>
      <w:tr w:rsidR="002F77E5" w14:paraId="09D2C5E2" w14:textId="77777777">
        <w:trPr>
          <w:cantSplit/>
          <w:jc w:val="center"/>
        </w:trPr>
        <w:tc>
          <w:tcPr>
            <w:tcW w:w="2272" w:type="dxa"/>
            <w:shd w:val="clear" w:color="auto" w:fill="F0F4F6"/>
          </w:tcPr>
          <w:p w14:paraId="0DA9C043" w14:textId="77777777" w:rsidR="002F77E5" w:rsidRDefault="00000000">
            <w:pPr>
              <w:pStyle w:val="LectureTable"/>
              <w:keepNext/>
              <w:spacing w:after="0"/>
            </w:pPr>
            <w:r>
              <w:t>Профессиональная задача</w:t>
            </w:r>
          </w:p>
        </w:tc>
        <w:tc>
          <w:tcPr>
            <w:tcW w:w="3030" w:type="dxa"/>
            <w:shd w:val="clear" w:color="auto" w:fill="F0F4F6"/>
          </w:tcPr>
          <w:p w14:paraId="44417E91" w14:textId="77777777" w:rsidR="002F77E5" w:rsidRDefault="00000000">
            <w:pPr>
              <w:pStyle w:val="LectureTable"/>
              <w:keepNext/>
              <w:spacing w:after="0"/>
            </w:pPr>
            <w:r>
              <w:t>Названа конкретная работа</w:t>
            </w:r>
          </w:p>
        </w:tc>
        <w:tc>
          <w:tcPr>
            <w:tcW w:w="4166" w:type="dxa"/>
            <w:shd w:val="clear" w:color="auto" w:fill="F0F4F6"/>
          </w:tcPr>
          <w:p w14:paraId="1FA14B4F" w14:textId="77777777" w:rsidR="002F77E5" w:rsidRDefault="00000000">
            <w:pPr>
              <w:pStyle w:val="LectureTable"/>
              <w:keepNext/>
              <w:spacing w:after="0"/>
            </w:pPr>
            <w:r>
              <w:t>Общее «делаем лучше»</w:t>
            </w:r>
          </w:p>
        </w:tc>
      </w:tr>
      <w:tr w:rsidR="002F77E5" w14:paraId="44D98312" w14:textId="77777777">
        <w:trPr>
          <w:cantSplit/>
          <w:jc w:val="center"/>
        </w:trPr>
        <w:tc>
          <w:tcPr>
            <w:tcW w:w="2272" w:type="dxa"/>
            <w:shd w:val="clear" w:color="auto" w:fill="FFFFFF"/>
          </w:tcPr>
          <w:p w14:paraId="75FE1AB5" w14:textId="77777777" w:rsidR="002F77E5" w:rsidRDefault="00000000">
            <w:pPr>
              <w:pStyle w:val="LectureTable"/>
              <w:keepNext/>
              <w:spacing w:after="0"/>
            </w:pPr>
            <w:r>
              <w:t>Личный вклад</w:t>
            </w:r>
          </w:p>
        </w:tc>
        <w:tc>
          <w:tcPr>
            <w:tcW w:w="3030" w:type="dxa"/>
            <w:shd w:val="clear" w:color="auto" w:fill="FFFFFF"/>
          </w:tcPr>
          <w:p w14:paraId="30538705" w14:textId="77777777" w:rsidR="002F77E5" w:rsidRDefault="00000000">
            <w:pPr>
              <w:pStyle w:val="LectureTable"/>
              <w:keepNext/>
              <w:spacing w:after="0"/>
            </w:pPr>
            <w:r>
              <w:t>Описаны действия автора</w:t>
            </w:r>
          </w:p>
        </w:tc>
        <w:tc>
          <w:tcPr>
            <w:tcW w:w="4166" w:type="dxa"/>
            <w:shd w:val="clear" w:color="auto" w:fill="FFFFFF"/>
          </w:tcPr>
          <w:p w14:paraId="0F6F88A3" w14:textId="77777777" w:rsidR="002F77E5" w:rsidRDefault="00000000">
            <w:pPr>
              <w:pStyle w:val="LectureTable"/>
              <w:keepNext/>
              <w:spacing w:after="0"/>
            </w:pPr>
            <w:r>
              <w:t>Только результат команды</w:t>
            </w:r>
          </w:p>
        </w:tc>
      </w:tr>
      <w:tr w:rsidR="002F77E5" w14:paraId="716D0586" w14:textId="77777777">
        <w:trPr>
          <w:cantSplit/>
          <w:jc w:val="center"/>
        </w:trPr>
        <w:tc>
          <w:tcPr>
            <w:tcW w:w="2272" w:type="dxa"/>
            <w:shd w:val="clear" w:color="auto" w:fill="F0F4F6"/>
          </w:tcPr>
          <w:p w14:paraId="678629AC" w14:textId="77777777" w:rsidR="002F77E5" w:rsidRDefault="00000000">
            <w:pPr>
              <w:pStyle w:val="LectureTable"/>
              <w:keepNext/>
              <w:spacing w:after="0"/>
            </w:pPr>
            <w:r>
              <w:t>Ограничение</w:t>
            </w:r>
          </w:p>
        </w:tc>
        <w:tc>
          <w:tcPr>
            <w:tcW w:w="3030" w:type="dxa"/>
            <w:shd w:val="clear" w:color="auto" w:fill="F0F4F6"/>
          </w:tcPr>
          <w:p w14:paraId="20F9870D" w14:textId="77777777" w:rsidR="002F77E5" w:rsidRDefault="00000000">
            <w:pPr>
              <w:pStyle w:val="LectureTable"/>
              <w:keepNext/>
              <w:spacing w:after="0"/>
            </w:pPr>
            <w:r>
              <w:t>Названы условия применимости</w:t>
            </w:r>
          </w:p>
        </w:tc>
        <w:tc>
          <w:tcPr>
            <w:tcW w:w="4166" w:type="dxa"/>
            <w:shd w:val="clear" w:color="auto" w:fill="F0F4F6"/>
          </w:tcPr>
          <w:p w14:paraId="1FBEAFDA" w14:textId="77777777" w:rsidR="002F77E5" w:rsidRDefault="00000000">
            <w:pPr>
              <w:pStyle w:val="LectureTable"/>
              <w:keepNext/>
              <w:spacing w:after="0"/>
            </w:pPr>
            <w:r>
              <w:t>Неопределенное «все индивидуально»</w:t>
            </w:r>
          </w:p>
        </w:tc>
      </w:tr>
      <w:tr w:rsidR="002F77E5" w14:paraId="05CA0AAB" w14:textId="77777777">
        <w:trPr>
          <w:cantSplit/>
          <w:jc w:val="center"/>
        </w:trPr>
        <w:tc>
          <w:tcPr>
            <w:tcW w:w="2272" w:type="dxa"/>
            <w:shd w:val="clear" w:color="auto" w:fill="FFFFFF"/>
          </w:tcPr>
          <w:p w14:paraId="7E79E2E2" w14:textId="77777777" w:rsidR="002F77E5" w:rsidRDefault="00000000">
            <w:pPr>
              <w:pStyle w:val="LectureTable"/>
              <w:spacing w:after="0"/>
            </w:pPr>
            <w:r>
              <w:t>Обратная связь</w:t>
            </w:r>
          </w:p>
        </w:tc>
        <w:tc>
          <w:tcPr>
            <w:tcW w:w="3030" w:type="dxa"/>
            <w:shd w:val="clear" w:color="auto" w:fill="FFFFFF"/>
          </w:tcPr>
          <w:p w14:paraId="2501E606" w14:textId="77777777" w:rsidR="002F77E5" w:rsidRDefault="00000000">
            <w:pPr>
              <w:pStyle w:val="LectureTable"/>
              <w:spacing w:after="0"/>
            </w:pPr>
            <w:r>
              <w:t>Указан работающий способ обращения</w:t>
            </w:r>
          </w:p>
        </w:tc>
        <w:tc>
          <w:tcPr>
            <w:tcW w:w="4166" w:type="dxa"/>
            <w:shd w:val="clear" w:color="auto" w:fill="FFFFFF"/>
          </w:tcPr>
          <w:p w14:paraId="54E239A3" w14:textId="77777777" w:rsidR="002F77E5" w:rsidRDefault="00000000">
            <w:pPr>
              <w:pStyle w:val="LectureTable"/>
              <w:spacing w:after="0"/>
            </w:pPr>
            <w:r>
              <w:t>Декоративная надпись без контакта</w:t>
            </w:r>
          </w:p>
        </w:tc>
      </w:tr>
    </w:tbl>
    <w:p w14:paraId="3307FD8A" w14:textId="77777777" w:rsidR="002F77E5" w:rsidRDefault="002F77E5">
      <w:pPr>
        <w:spacing w:after="0" w:line="120" w:lineRule="exact"/>
      </w:pPr>
    </w:p>
    <w:p w14:paraId="5496728B" w14:textId="77777777" w:rsidR="002F77E5" w:rsidRDefault="00000000">
      <w:r>
        <w:t>Для пилота два студента независимо кодируют небольшой набор одинаковых материалов. Затем сравнивают решения и уточняют определения. Процент совпадения рассчитывается как число одинаковых решений, деленное на число сравниваемых решений. Он показывает согласованность в этом наборе, но не учитывает случайные совпадения и не является доказательством валидности.</w:t>
      </w:r>
    </w:p>
    <w:p w14:paraId="2AB52F6A" w14:textId="77777777" w:rsidR="002F77E5" w:rsidRDefault="00000000">
      <w:r>
        <w:t>После уточнения схемы сохраняют ее версию и повторно проверяют спорные материалы. Нельзя незаметно менять правила только для отдельных примеров. Прозрачность процедуры важнее желания получить высокий показатель согласия.</w:t>
      </w:r>
    </w:p>
    <w:p w14:paraId="03E8C516" w14:textId="77777777" w:rsidR="002F77E5" w:rsidRDefault="00000000">
      <w:r>
        <w:t>В выводе пишут: «В 8 из 20 изученных публикаций описан личный вклад». Это описание контента. Чтобы утверждать, что аудитория заметила или поняла вклад, понадобится отдельное исследование восприятия.</w:t>
      </w:r>
    </w:p>
    <w:p w14:paraId="13DD8CB9" w14:textId="77777777" w:rsidR="002F77E5" w:rsidRDefault="00000000">
      <w:pPr>
        <w:pStyle w:val="1"/>
        <w:pageBreakBefore/>
        <w:spacing w:before="0"/>
      </w:pPr>
      <w:bookmarkStart w:id="6" w:name="Section_07"/>
      <w:bookmarkEnd w:id="6"/>
      <w:r>
        <w:lastRenderedPageBreak/>
        <w:t>Описательный анализ и карта разрывов</w:t>
      </w:r>
    </w:p>
    <w:p w14:paraId="356C63BC" w14:textId="77777777" w:rsidR="002F77E5" w:rsidRDefault="00000000">
      <w:r>
        <w:t>Первый шаг анализа — проверить полноту данных и смысл кодов. Ответ «не могу оценить» не заменяют нулем, если шкала начинается с единицы. Дубликаты и исключения отмечают. Для небольшого учебного набора полезно показывать абсолютные числа вместе с долями: «6 из 10», а не только «60%».</w:t>
      </w:r>
    </w:p>
    <w:p w14:paraId="1A3AE490" w14:textId="77777777" w:rsidR="002F77E5" w:rsidRDefault="00000000">
      <w:r>
        <w:t>Среднее по шкале рассчитывается как сумма числовых ответов, деленная на число содержательных ответов. Для порядковых оценок оно может использоваться как условное описательное резюме, но не следует предполагать точное равенство психологических расстояний между категориями. Распределение ответов и медиана помогают увидеть то, что скрывается за одним числом.</w:t>
      </w:r>
    </w:p>
    <w:p w14:paraId="605F23CE" w14:textId="77777777" w:rsidR="002F77E5" w:rsidRDefault="00000000">
      <w:pPr>
        <w:pStyle w:val="21"/>
      </w:pPr>
      <w:r>
        <w:t>Учебная карта разрывов</w:t>
      </w:r>
    </w:p>
    <w:p w14:paraId="3CED7838" w14:textId="77777777" w:rsidR="002F77E5" w:rsidRDefault="00000000">
      <w:r>
        <w:t>Можно сопоставить целевой ориентир и наблюдаемую оценку: G = T - P, где T — заранее согласованное значение, P — показатель восприятия. Например, 4,0 - 3,2 = 0,8 балла. Это рабочая разница в условных единицах выбранной шкалы, а не стандартизированный индекс качества личности.</w:t>
      </w:r>
    </w:p>
    <w:p w14:paraId="7D29C2C6" w14:textId="77777777" w:rsidR="002F77E5" w:rsidRDefault="00000000">
      <w:r>
        <w:t>Цель T не должна автоматически равняться максимальному баллу по всем признакам. Для одного проекта важна подробность объяснения, для другого — краткость. Кроме того, высокий балл по нерелевантной характеристике не компенсирует недостоверность существенного обещания.</w:t>
      </w:r>
    </w:p>
    <w:p w14:paraId="46221C3E" w14:textId="77777777" w:rsidR="002F77E5" w:rsidRDefault="00000000">
      <w:r>
        <w:t>Приоритет решения зависит не только от величины разрыва, но и от его значимости, уверенности в данных и возможности исправления. Неясное существенное условие услуги может требовать внимания раньше, чем предпочтение другого визуального стиля.</w:t>
      </w:r>
    </w:p>
    <w:p w14:paraId="25A2492C" w14:textId="77777777" w:rsidR="002F77E5" w:rsidRDefault="00000000">
      <w:r>
        <w:t>Корреляция или одновременное изменение двух показателей не доказывает причинности. После обновления профиля число обращений могло измениться и из-за сезона, рекламы или состава аудитории. В отчете разделяют наблюдаемое изменение и предполагаемое объяснение.</w:t>
      </w:r>
    </w:p>
    <w:p w14:paraId="5DDDDDDF" w14:textId="77777777" w:rsidR="002F77E5" w:rsidRDefault="00000000">
      <w:pPr>
        <w:pStyle w:val="1"/>
        <w:pageBreakBefore/>
        <w:spacing w:before="0"/>
      </w:pPr>
      <w:bookmarkStart w:id="7" w:name="Section_08"/>
      <w:bookmarkEnd w:id="7"/>
      <w:r>
        <w:lastRenderedPageBreak/>
        <w:t>Учебный кейс: аудит портфолио студии</w:t>
      </w:r>
    </w:p>
    <w:p w14:paraId="23959964" w14:textId="77777777" w:rsidR="002F77E5" w:rsidRDefault="00000000">
      <w:r>
        <w:t>Все данные кейса условные. Студия исследовала 20 публикаций и провела учебный просмотр портфолио с 10 добровольцами. В 14 публикациях была названа услуга, в 8 — показан конкретный пример, в 3 — обозначены ограничения. Из участников 6 верно назвали специализацию, 4 нашли подходящий пример без подсказки, 2 смогли объяснить условия обращения.</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2F77E5" w14:paraId="6E81627F" w14:textId="77777777">
        <w:trPr>
          <w:cantSplit/>
          <w:tblHeader/>
          <w:jc w:val="center"/>
        </w:trPr>
        <w:tc>
          <w:tcPr>
            <w:tcW w:w="2272" w:type="dxa"/>
            <w:shd w:val="clear" w:color="auto" w:fill="19354A"/>
          </w:tcPr>
          <w:p w14:paraId="3D2A61F4" w14:textId="77777777" w:rsidR="002F77E5" w:rsidRDefault="00000000">
            <w:pPr>
              <w:pStyle w:val="LectureTable"/>
              <w:keepNext/>
              <w:spacing w:after="0"/>
            </w:pPr>
            <w:r>
              <w:rPr>
                <w:b/>
                <w:color w:val="FFFFFF"/>
              </w:rPr>
              <w:t>Наблюдение</w:t>
            </w:r>
          </w:p>
        </w:tc>
        <w:tc>
          <w:tcPr>
            <w:tcW w:w="3030" w:type="dxa"/>
            <w:shd w:val="clear" w:color="auto" w:fill="19354A"/>
          </w:tcPr>
          <w:p w14:paraId="1DFC9234" w14:textId="77777777" w:rsidR="002F77E5" w:rsidRDefault="00000000">
            <w:pPr>
              <w:pStyle w:val="LectureTable"/>
              <w:keepNext/>
              <w:spacing w:after="0"/>
            </w:pPr>
            <w:r>
              <w:rPr>
                <w:b/>
                <w:color w:val="FFFFFF"/>
              </w:rPr>
              <w:t>Корректный вывод</w:t>
            </w:r>
          </w:p>
        </w:tc>
        <w:tc>
          <w:tcPr>
            <w:tcW w:w="4166" w:type="dxa"/>
            <w:shd w:val="clear" w:color="auto" w:fill="19354A"/>
          </w:tcPr>
          <w:p w14:paraId="7D819015" w14:textId="77777777" w:rsidR="002F77E5" w:rsidRDefault="00000000">
            <w:pPr>
              <w:pStyle w:val="LectureTable"/>
              <w:keepNext/>
              <w:spacing w:after="0"/>
            </w:pPr>
            <w:r>
              <w:rPr>
                <w:b/>
                <w:color w:val="FFFFFF"/>
              </w:rPr>
              <w:t>Неподтвержденный вывод</w:t>
            </w:r>
          </w:p>
        </w:tc>
      </w:tr>
      <w:tr w:rsidR="002F77E5" w14:paraId="4F0AC15B" w14:textId="77777777">
        <w:trPr>
          <w:cantSplit/>
          <w:jc w:val="center"/>
        </w:trPr>
        <w:tc>
          <w:tcPr>
            <w:tcW w:w="2272" w:type="dxa"/>
            <w:shd w:val="clear" w:color="auto" w:fill="F0F4F6"/>
          </w:tcPr>
          <w:p w14:paraId="74AC9F7D" w14:textId="77777777" w:rsidR="002F77E5" w:rsidRDefault="00000000">
            <w:pPr>
              <w:pStyle w:val="LectureTable"/>
              <w:keepNext/>
              <w:spacing w:after="0"/>
            </w:pPr>
            <w:r>
              <w:t>8 из 20 публикаций содержат пример</w:t>
            </w:r>
          </w:p>
        </w:tc>
        <w:tc>
          <w:tcPr>
            <w:tcW w:w="3030" w:type="dxa"/>
            <w:shd w:val="clear" w:color="auto" w:fill="F0F4F6"/>
          </w:tcPr>
          <w:p w14:paraId="1D6F7A45" w14:textId="77777777" w:rsidR="002F77E5" w:rsidRDefault="00000000">
            <w:pPr>
              <w:pStyle w:val="LectureTable"/>
              <w:keepNext/>
              <w:spacing w:after="0"/>
            </w:pPr>
            <w:r>
              <w:t>В наборе доля таких материалов 40%</w:t>
            </w:r>
          </w:p>
        </w:tc>
        <w:tc>
          <w:tcPr>
            <w:tcW w:w="4166" w:type="dxa"/>
            <w:shd w:val="clear" w:color="auto" w:fill="F0F4F6"/>
          </w:tcPr>
          <w:p w14:paraId="58B26648" w14:textId="77777777" w:rsidR="002F77E5" w:rsidRDefault="00000000">
            <w:pPr>
              <w:pStyle w:val="LectureTable"/>
              <w:keepNext/>
              <w:spacing w:after="0"/>
            </w:pPr>
            <w:r>
              <w:t>Только 40% клиентов доверяют студии</w:t>
            </w:r>
          </w:p>
        </w:tc>
      </w:tr>
      <w:tr w:rsidR="002F77E5" w14:paraId="6BD9AF86" w14:textId="77777777">
        <w:trPr>
          <w:cantSplit/>
          <w:jc w:val="center"/>
        </w:trPr>
        <w:tc>
          <w:tcPr>
            <w:tcW w:w="2272" w:type="dxa"/>
            <w:shd w:val="clear" w:color="auto" w:fill="FFFFFF"/>
          </w:tcPr>
          <w:p w14:paraId="6AA89ACB" w14:textId="77777777" w:rsidR="002F77E5" w:rsidRDefault="00000000">
            <w:pPr>
              <w:pStyle w:val="LectureTable"/>
              <w:keepNext/>
              <w:spacing w:after="0"/>
            </w:pPr>
            <w:r>
              <w:t>6 из 10 назвали специализацию</w:t>
            </w:r>
          </w:p>
        </w:tc>
        <w:tc>
          <w:tcPr>
            <w:tcW w:w="3030" w:type="dxa"/>
            <w:shd w:val="clear" w:color="auto" w:fill="FFFFFF"/>
          </w:tcPr>
          <w:p w14:paraId="61475CAC" w14:textId="77777777" w:rsidR="002F77E5" w:rsidRDefault="00000000">
            <w:pPr>
              <w:pStyle w:val="LectureTable"/>
              <w:keepNext/>
              <w:spacing w:after="0"/>
            </w:pPr>
            <w:r>
              <w:t>В тесте роль поняли шесть человек</w:t>
            </w:r>
          </w:p>
        </w:tc>
        <w:tc>
          <w:tcPr>
            <w:tcW w:w="4166" w:type="dxa"/>
            <w:shd w:val="clear" w:color="auto" w:fill="FFFFFF"/>
          </w:tcPr>
          <w:p w14:paraId="09BB2727" w14:textId="77777777" w:rsidR="002F77E5" w:rsidRDefault="00000000">
            <w:pPr>
              <w:pStyle w:val="LectureTable"/>
              <w:keepNext/>
              <w:spacing w:after="0"/>
            </w:pPr>
            <w:r>
              <w:t>60% всего рынка знают студию</w:t>
            </w:r>
          </w:p>
        </w:tc>
      </w:tr>
      <w:tr w:rsidR="002F77E5" w14:paraId="5D454C3D" w14:textId="77777777">
        <w:trPr>
          <w:cantSplit/>
          <w:jc w:val="center"/>
        </w:trPr>
        <w:tc>
          <w:tcPr>
            <w:tcW w:w="2272" w:type="dxa"/>
            <w:shd w:val="clear" w:color="auto" w:fill="F0F4F6"/>
          </w:tcPr>
          <w:p w14:paraId="192F95E7" w14:textId="77777777" w:rsidR="002F77E5" w:rsidRDefault="00000000">
            <w:pPr>
              <w:pStyle w:val="LectureTable"/>
              <w:spacing w:after="0"/>
            </w:pPr>
            <w:r>
              <w:t>2 из 10 объяснили условия</w:t>
            </w:r>
          </w:p>
        </w:tc>
        <w:tc>
          <w:tcPr>
            <w:tcW w:w="3030" w:type="dxa"/>
            <w:shd w:val="clear" w:color="auto" w:fill="F0F4F6"/>
          </w:tcPr>
          <w:p w14:paraId="519679E3" w14:textId="77777777" w:rsidR="002F77E5" w:rsidRDefault="00000000">
            <w:pPr>
              <w:pStyle w:val="LectureTable"/>
              <w:spacing w:after="0"/>
            </w:pPr>
            <w:r>
              <w:t>Условия требуют дополнительной проверки</w:t>
            </w:r>
          </w:p>
        </w:tc>
        <w:tc>
          <w:tcPr>
            <w:tcW w:w="4166" w:type="dxa"/>
            <w:shd w:val="clear" w:color="auto" w:fill="F0F4F6"/>
          </w:tcPr>
          <w:p w14:paraId="14CED16F" w14:textId="77777777" w:rsidR="002F77E5" w:rsidRDefault="00000000">
            <w:pPr>
              <w:pStyle w:val="LectureTable"/>
              <w:spacing w:after="0"/>
            </w:pPr>
            <w:r>
              <w:t>Студия намеренно скрывает правила</w:t>
            </w:r>
          </w:p>
        </w:tc>
      </w:tr>
    </w:tbl>
    <w:p w14:paraId="468AB3D9" w14:textId="77777777" w:rsidR="002F77E5" w:rsidRDefault="002F77E5">
      <w:pPr>
        <w:spacing w:after="0" w:line="120" w:lineRule="exact"/>
      </w:pPr>
    </w:p>
    <w:p w14:paraId="5222770E" w14:textId="77777777" w:rsidR="002F77E5" w:rsidRDefault="00000000">
      <w:pPr>
        <w:pStyle w:val="21"/>
      </w:pPr>
      <w:r>
        <w:t>Интерпретация</w:t>
      </w:r>
    </w:p>
    <w:p w14:paraId="0F3E2B28" w14:textId="77777777" w:rsidR="002F77E5" w:rsidRDefault="00000000">
      <w:r>
        <w:t>Материалы и ответы указывают на возможный информационный разрыв. Но причины могут различаться: условия отсутствуют, размещены слишком далеко или сформулированы непонятно. Следующий шаг — наблюдение за поиском условий и уточняющие вопросы, а не немедленная смена логотипа.</w:t>
      </w:r>
    </w:p>
    <w:p w14:paraId="5F0A538E" w14:textId="77777777" w:rsidR="002F77E5" w:rsidRDefault="00000000">
      <w:r>
        <w:t>Предлагаемое решение — отдельный блок «Как проходит работа» с этапами, составом результата и ограничениями. Затем повторный тест с сопоставимым заданием. Если участники теперь находят условия, можно обсуждать улучшение выполнения конкретной задачи, но не автоматически рост общей репутации.</w:t>
      </w:r>
    </w:p>
    <w:p w14:paraId="2A344701" w14:textId="77777777" w:rsidR="002F77E5" w:rsidRDefault="00000000">
      <w:r>
        <w:t>В отчете необходимо назвать ограничения: удобная выборка, малое число участников, отсутствие случайного отбора и возможное влияние знакомства со студией. Качественные комментарии помогают объяснить затруднения, но не устраняют эти ограничения.</w:t>
      </w:r>
    </w:p>
    <w:p w14:paraId="3294B1BA" w14:textId="77777777" w:rsidR="002F77E5" w:rsidRDefault="00000000">
      <w:r>
        <w:t>Проверка арифметики: 8 / 20 = 0,40; 6 / 10 = 0,60. Разные знаменатели относятся к разным единицам анализа и не должны смешиваться в одном показателе.</w:t>
      </w:r>
    </w:p>
    <w:p w14:paraId="0D730789" w14:textId="77777777" w:rsidR="002F77E5" w:rsidRDefault="00000000">
      <w:pPr>
        <w:pStyle w:val="1"/>
        <w:pageBreakBefore/>
        <w:spacing w:before="0"/>
      </w:pPr>
      <w:bookmarkStart w:id="8" w:name="Section_09"/>
      <w:bookmarkEnd w:id="8"/>
      <w:r>
        <w:lastRenderedPageBreak/>
        <w:t>Самостоятельная работа: мини-аудит объекта</w:t>
      </w:r>
    </w:p>
    <w:p w14:paraId="10F4D9E1" w14:textId="77777777" w:rsidR="002F77E5" w:rsidRDefault="00000000">
      <w:r>
        <w:t>Проведите аудит одной точки контакта из карты предыдущей недели. Выберите 10–15 однородных материалов либо одну страницу с четко определенными элементами. Добавьте три-пять добровольных учебных интервью или используйте предоставленные преподавателем ответы. Объем задания ограничен для тренировки, а не для представительного исследования.</w:t>
      </w:r>
    </w:p>
    <w:p w14:paraId="1C574EAD" w14:textId="77777777" w:rsidR="002F77E5" w:rsidRDefault="00000000">
      <w:r>
        <w:t>До сбора подготовьте вопрос аудита, таблицу показателей, критерии отбора и краткую инструкцию участнику. Если используете оценки по шкале, определите значения полюсов и отдельную категорию невозможности оценки. Не изменяйте правила задним числом без явного описания причины.</w:t>
      </w:r>
    </w:p>
    <w:p w14:paraId="5C7216B1" w14:textId="77777777" w:rsidR="002F77E5" w:rsidRDefault="00000000">
      <w:pPr>
        <w:pStyle w:val="21"/>
      </w:pPr>
      <w:r>
        <w:t>Состав отчета</w:t>
      </w:r>
    </w:p>
    <w:p w14:paraId="1FDD67F5" w14:textId="77777777" w:rsidR="002F77E5" w:rsidRDefault="00000000">
      <w:r>
        <w:t>Представьте цель, объект, аудиторию, метод, материалы, обезличенные данные, результаты и ограничения. Завершите тремя выводами: что подтверждено, что остается гипотезой и какой следующий шаг необходим. Для каждой рекомендации укажите наблюдение, которое ее обосновывает.</w:t>
      </w:r>
    </w:p>
    <w:p w14:paraId="0BE9EBD0" w14:textId="77777777" w:rsidR="002F77E5" w:rsidRDefault="00000000">
      <w:r>
        <w:t>Обязательное приложение — кодировочная схема или вопросы интервью. Сырые записи частной переписки и персональные сведения в учебный отчет не включаются. Достаточно согласованных обезличенных фрагментов и прозрачного описания процедуры.</w:t>
      </w:r>
    </w:p>
    <w:p w14:paraId="28083AD1" w14:textId="77777777" w:rsidR="002F77E5" w:rsidRDefault="00000000">
      <w:r>
        <w:t>Оценивание: соответствие метода вопросу — 2 балла; операционализация — 2; прозрачность отбора и процедуры — 2; анализ и арифметика — 2; ограничения и этика — 2. Максимум — 10 баллов. Большое число графиков не компенсирует непонятный источник данных.</w:t>
      </w:r>
    </w:p>
    <w:p w14:paraId="5EC53CDD" w14:textId="77777777" w:rsidR="002F77E5" w:rsidRDefault="00000000">
      <w:r>
        <w:t>Для обсуждения подготовьте один спорный вывод и две его возможные интерпретации. Попросите однокурсников предложить наблюдение, которое помогло бы их различить. Этот прием развивает диагностическое мышление и подготавливает стратегическую работу следующей недели.</w:t>
      </w:r>
    </w:p>
    <w:p w14:paraId="4FBCDB6D" w14:textId="77777777" w:rsidR="002F77E5" w:rsidRDefault="00000000">
      <w:pPr>
        <w:pStyle w:val="1"/>
        <w:pageBreakBefore/>
        <w:spacing w:before="0"/>
      </w:pPr>
      <w:bookmarkStart w:id="9" w:name="Section_10"/>
      <w:bookmarkEnd w:id="9"/>
      <w:r>
        <w:lastRenderedPageBreak/>
        <w:t>Самопроверка и источники</w:t>
      </w:r>
    </w:p>
    <w:p w14:paraId="1B3AC914" w14:textId="77777777" w:rsidR="002F77E5" w:rsidRDefault="00000000">
      <w:pPr>
        <w:pStyle w:val="21"/>
      </w:pPr>
      <w:r>
        <w:t>Вопросы</w:t>
      </w:r>
    </w:p>
    <w:p w14:paraId="3940CDFF" w14:textId="77777777" w:rsidR="002F77E5" w:rsidRDefault="00000000">
      <w:r>
        <w:t>1. Можно ли по публикациям установить мнение всей аудитории? 2. Почему «не могу оценить» нельзя без объяснения кодировать как ноль? 3. Что неверно в вопросе «Насколько профиль надежный и понятный»? 4. Доказывает ли высокий процент совпадения кодировщиков правильность категорий? 5. Какой вывод допустим из пяти учебных интервью?</w:t>
      </w:r>
    </w:p>
    <w:p w14:paraId="062B7F4A" w14:textId="77777777" w:rsidR="002F77E5" w:rsidRDefault="00000000">
      <w:pPr>
        <w:pStyle w:val="21"/>
      </w:pPr>
      <w:r>
        <w:t>Ответы-ориентиры</w:t>
      </w:r>
    </w:p>
    <w:p w14:paraId="4DBEF094" w14:textId="77777777" w:rsidR="002F77E5" w:rsidRDefault="00000000">
      <w:r>
        <w:t>Контент показывает доступные сообщения, а восприятие требует отдельной проверки. Отсутствие возможности оценить отличается от низкой оценки. Двойной вопрос смешивает два признака. Совпадение кодировщиков говорит о согласованности применения правил, но не доказывает содержательную обоснованность измерения. Интервью позволяют описывать ответы участников и формулировать гипотезы, а не обобщать доли на всю совокупность.</w:t>
      </w:r>
    </w:p>
    <w:p w14:paraId="31204E89" w14:textId="77777777" w:rsidR="002F77E5" w:rsidRDefault="00000000">
      <w:pPr>
        <w:pStyle w:val="21"/>
      </w:pPr>
      <w:r>
        <w:t>Итог и термины</w:t>
      </w:r>
    </w:p>
    <w:p w14:paraId="3F719F68" w14:textId="77777777" w:rsidR="002F77E5" w:rsidRDefault="00000000">
      <w:r>
        <w:t>Операционализация — перевод понятия в наблюдения; выборка — изучаемая часть совокупности; единица анализа — отдельный объект счета; кодирование — отнесение материала к категориям; надежность — устойчивость или согласованность измерения; валидность — обоснованность интерпретации измеряемого понятия.</w:t>
      </w:r>
    </w:p>
    <w:p w14:paraId="04FD371F" w14:textId="77777777" w:rsidR="002F77E5" w:rsidRDefault="00000000">
      <w:r>
        <w:t>Диагностика полезна, когда понятно, откуда взялся каждый вывод и какие альтернативные объяснения сохраняются. Ограничения — часть результата, а не формальность в конце отчета.</w:t>
      </w:r>
    </w:p>
    <w:p w14:paraId="013847AE" w14:textId="77777777" w:rsidR="002F77E5" w:rsidRDefault="00000000">
      <w:pPr>
        <w:pStyle w:val="21"/>
      </w:pPr>
      <w:r>
        <w:t>Источники и дальнейшее чтение</w:t>
      </w:r>
    </w:p>
    <w:p w14:paraId="67228027" w14:textId="77777777" w:rsidR="002F77E5" w:rsidRDefault="00000000">
      <w:pPr>
        <w:pStyle w:val="LectureReference"/>
      </w:pPr>
      <w:r>
        <w:t xml:space="preserve">[1] AAPOR. </w:t>
      </w:r>
      <w:r w:rsidRPr="00F84F77">
        <w:rPr>
          <w:lang w:val="en-US"/>
        </w:rPr>
        <w:t xml:space="preserve">Best Practices for Survey Research. </w:t>
      </w:r>
      <w:r>
        <w:t xml:space="preserve">Методические рекомендации по организации и прозрачности опросов. </w:t>
      </w:r>
      <w:hyperlink r:id="rId8" w:history="1">
        <w:r>
          <w:rPr>
            <w:color w:val="176B72"/>
            <w:u w:val="single"/>
          </w:rPr>
          <w:t>Перейти к источнику</w:t>
        </w:r>
      </w:hyperlink>
      <w:r>
        <w:t>.</w:t>
      </w:r>
    </w:p>
    <w:p w14:paraId="319B3CE0" w14:textId="77777777" w:rsidR="002F77E5" w:rsidRDefault="00000000">
      <w:pPr>
        <w:pStyle w:val="LectureReference"/>
      </w:pPr>
      <w:r>
        <w:t xml:space="preserve">[2] Pew Research Center. Writing Survey Questions. Методические рекомендации по формулировкам и последовательности вопросов. </w:t>
      </w:r>
      <w:hyperlink r:id="rId9" w:history="1">
        <w:r>
          <w:rPr>
            <w:color w:val="176B72"/>
            <w:u w:val="single"/>
          </w:rPr>
          <w:t>Перейти к источнику</w:t>
        </w:r>
      </w:hyperlink>
      <w:r>
        <w:t>.</w:t>
      </w:r>
    </w:p>
    <w:p w14:paraId="2B7B211D" w14:textId="77777777" w:rsidR="002F77E5"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2F77E5" w:rsidSect="00034616">
      <w:headerReference w:type="default" r:id="rId10"/>
      <w:footerReference w:type="default" r:id="rId11"/>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4665A" w14:textId="77777777" w:rsidR="003206C8" w:rsidRDefault="003206C8">
      <w:pPr>
        <w:spacing w:after="0" w:line="240" w:lineRule="auto"/>
      </w:pPr>
      <w:r>
        <w:separator/>
      </w:r>
    </w:p>
  </w:endnote>
  <w:endnote w:type="continuationSeparator" w:id="0">
    <w:p w14:paraId="6911F0B0" w14:textId="77777777" w:rsidR="003206C8" w:rsidRDefault="00320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32C7" w14:textId="1308500E" w:rsidR="002F77E5"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BB257" w14:textId="77777777" w:rsidR="003206C8" w:rsidRDefault="003206C8">
      <w:pPr>
        <w:spacing w:after="0" w:line="240" w:lineRule="auto"/>
      </w:pPr>
      <w:r>
        <w:separator/>
      </w:r>
    </w:p>
  </w:footnote>
  <w:footnote w:type="continuationSeparator" w:id="0">
    <w:p w14:paraId="2A3D9116" w14:textId="77777777" w:rsidR="003206C8" w:rsidRDefault="00320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9496" w14:textId="2B3107E3" w:rsidR="002F77E5"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05</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16069021">
    <w:abstractNumId w:val="8"/>
  </w:num>
  <w:num w:numId="2" w16cid:durableId="446968562">
    <w:abstractNumId w:val="6"/>
  </w:num>
  <w:num w:numId="3" w16cid:durableId="768619427">
    <w:abstractNumId w:val="5"/>
  </w:num>
  <w:num w:numId="4" w16cid:durableId="1749232690">
    <w:abstractNumId w:val="4"/>
  </w:num>
  <w:num w:numId="5" w16cid:durableId="1685784899">
    <w:abstractNumId w:val="7"/>
  </w:num>
  <w:num w:numId="6" w16cid:durableId="1133183255">
    <w:abstractNumId w:val="3"/>
  </w:num>
  <w:num w:numId="7" w16cid:durableId="610093761">
    <w:abstractNumId w:val="2"/>
  </w:num>
  <w:num w:numId="8" w16cid:durableId="1239170702">
    <w:abstractNumId w:val="1"/>
  </w:num>
  <w:num w:numId="9" w16cid:durableId="2072920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2F77E5"/>
    <w:rsid w:val="003206C8"/>
    <w:rsid w:val="00326F90"/>
    <w:rsid w:val="006740B9"/>
    <w:rsid w:val="00AA1D8D"/>
    <w:rsid w:val="00B47730"/>
    <w:rsid w:val="00CB0664"/>
    <w:rsid w:val="00F84F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885B2"/>
  <w14:defaultImageDpi w14:val="300"/>
  <w15:docId w15:val="{39D2940A-18DB-45C7-9544-58A6F23F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por.org/standards-and-ethics/best-practic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ewresearch.org/writing-survey-ques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2676</Words>
  <Characters>15258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Диагностика и аудит имиджа</dc:title>
  <dc:subject>Имиджмейкерство. Лекция 05.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2026-09-27T19:50:00Z</dcterms:modified>
  <cp:category/>
</cp:coreProperties>
</file>