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E7DA7C" w14:textId="77777777" w:rsidR="00126009" w:rsidRDefault="00000000">
      <w:pPr>
        <w:pStyle w:val="aa"/>
        <w:spacing w:before="0"/>
      </w:pPr>
      <w:bookmarkStart w:id="0" w:name="Section_01"/>
      <w:bookmarkEnd w:id="0"/>
      <w:r>
        <w:t>Целевые аудитории имиджмейкерства</w:t>
      </w:r>
    </w:p>
    <w:p w14:paraId="46B59D97" w14:textId="77777777" w:rsidR="00126009" w:rsidRDefault="00000000">
      <w:pPr>
        <w:pStyle w:val="ac"/>
      </w:pPr>
      <w:r>
        <w:t>Почему образ нельзя проектировать «для всех»</w:t>
      </w:r>
    </w:p>
    <w:p w14:paraId="406B7BD4" w14:textId="77777777" w:rsidR="00126009" w:rsidRDefault="00000000">
      <w:r>
        <w:t>Целевая аудитория — группа людей, для которой в конкретной ситуации предназначена коммуникация. В имиджевом проекте недостаточно обозначить ее как «общественность» или «все потенциальные клиенты». Необходимо выяснить, какие задачи решают эти люди, что уже знают об объекте и какую информацию используют для оценки.</w:t>
      </w:r>
    </w:p>
    <w:p w14:paraId="767A42EA" w14:textId="77777777" w:rsidR="00126009" w:rsidRDefault="00000000">
      <w:r>
        <w:t>Один и тот же специалист может представлять себя работодателю, заказчику и участнику профессионального сообщества. Факты его биографии не меняются, но вопросы аудитории различаются. Работодатель уточняет применимость навыков, заказчик — порядок и границы услуги, коллега — область совместного интереса. Поэтому адаптация начинается с информационной задачи, а не с попытки угадать чужие желания.</w:t>
      </w:r>
    </w:p>
    <w:p w14:paraId="4B65EF1D" w14:textId="77777777" w:rsidR="00126009" w:rsidRDefault="00000000">
      <w:pPr>
        <w:pStyle w:val="21"/>
      </w:pPr>
      <w:r>
        <w:t>Результаты изучения темы</w:t>
      </w:r>
    </w:p>
    <w:p w14:paraId="2092F8CA" w14:textId="77777777" w:rsidR="00126009" w:rsidRDefault="00000000">
      <w:r>
        <w:t>Студент научится различать аудиторию и заинтересованную сторону; выделять сегменты по задаче и контексту; составлять проверяемый профиль аудитории; анализировать точки контакта; учитывать языковые и организационные различия без стереотипных предположений.</w:t>
      </w:r>
    </w:p>
    <w:p w14:paraId="415F1B46" w14:textId="77777777" w:rsidR="00126009" w:rsidRDefault="00000000">
      <w:r>
        <w:t>В основе лекции — понимание организации как участника отношений с разными заинтересованными сторонами. Такой взгляд связан со стейкхолдерским подходом Р. Фримена [1]. Для учебного проекта важно помнить: человек может быть затронут действиями организации, даже если не является покупателем ее услуг.</w:t>
      </w:r>
    </w:p>
    <w:p w14:paraId="78A6279D" w14:textId="77777777" w:rsidR="00126009" w:rsidRDefault="00000000">
      <w:pPr>
        <w:pStyle w:val="LectureCallout"/>
        <w:keepLines/>
        <w:pBdr>
          <w:top w:val="single" w:sz="4" w:space="6" w:color="EFF5F6"/>
          <w:left w:val="single" w:sz="16" w:space="8" w:color="176B72"/>
          <w:bottom w:val="single" w:sz="4" w:space="6" w:color="EFF5F6"/>
        </w:pBdr>
        <w:shd w:val="clear" w:color="auto" w:fill="EFF5F6"/>
        <w:spacing w:before="160" w:after="240"/>
        <w:ind w:left="200" w:right="200"/>
      </w:pPr>
      <w:r>
        <w:t>Анализ аудитории должен помогать ей получить релевантную информацию и принять самостоятельное решение. Он не требует скрытого сбора чувствительных данных или эксплуатации личной уязвимости.</w:t>
      </w:r>
    </w:p>
    <w:p w14:paraId="194AB46A" w14:textId="77777777" w:rsidR="00126009" w:rsidRDefault="00000000">
      <w:r>
        <w:t>Результат недели — карта аудиторий выбранного объекта. Она станет основанием для диагностики и позволит объяснить, почему следующие материалы проекта предназначены конкретным группам, а не абстрактному «массовому потребителю».</w:t>
      </w:r>
    </w:p>
    <w:p w14:paraId="61F7FC14" w14:textId="77777777" w:rsidR="00126009" w:rsidRDefault="00000000">
      <w:pPr>
        <w:pStyle w:val="1"/>
        <w:pageBreakBefore/>
        <w:spacing w:before="0"/>
      </w:pPr>
      <w:bookmarkStart w:id="1" w:name="Section_02"/>
      <w:bookmarkEnd w:id="1"/>
      <w:r>
        <w:lastRenderedPageBreak/>
        <w:t>Аудитории и заинтересованные стороны</w:t>
      </w:r>
    </w:p>
    <w:p w14:paraId="018E869A" w14:textId="77777777" w:rsidR="00126009" w:rsidRDefault="00000000">
      <w:r>
        <w:t>Заинтересованная сторона, или стейкхолдер, связана с деятельностью объекта через воздействие, ожидания, обязательства или возможность влиять на решения. Коммуникационная аудитория — та часть людей, с которой в данный момент организуется обмен информацией. Эти категории пересекаются, но не совпадают полностью.</w:t>
      </w:r>
    </w:p>
    <w:p w14:paraId="53CE74AC" w14:textId="77777777" w:rsidR="00126009" w:rsidRDefault="00000000">
      <w:r>
        <w:t>Например, у небольшой учебной студии есть слушатели, преподаватели, сотрудники поддержки, партнерские площадки и жители здания, где проходят занятия. Рекламный материал может обращаться к будущим слушателям, но изменение расписания затрагивает и другие стороны. Игнорирование их вопросов сделает карту проекта неполной.</w:t>
      </w:r>
    </w:p>
    <w:p w14:paraId="325EC334" w14:textId="77777777" w:rsidR="00126009" w:rsidRDefault="00000000">
      <w:pPr>
        <w:pStyle w:val="21"/>
      </w:pPr>
      <w:r>
        <w:t>Несколько оснований классификации</w:t>
      </w:r>
    </w:p>
    <w:p w14:paraId="7873633A" w14:textId="77777777" w:rsidR="00126009" w:rsidRDefault="00000000">
      <w:r>
        <w:t>Внутренние и внешние стороны различаются положением относительно организации. Прямые и косвенные — характером контакта с услугой. Текущие и потенциальные — наличием опыта взаимодействия. Эти признаки помогают не смешивать разные источники впечатления, но не определяют ценность людей или обязательность удовлетворения всех требований.</w:t>
      </w:r>
    </w:p>
    <w:tbl>
      <w:tblPr>
        <w:tblW w:w="9468" w:type="dxa"/>
        <w:jc w:val="center"/>
        <w:tblBorders>
          <w:top w:val="single" w:sz="4" w:space="0" w:color="CDDAE0"/>
          <w:left w:val="nil"/>
          <w:bottom w:val="single" w:sz="4" w:space="0" w:color="CDDAE0"/>
          <w:right w:val="nil"/>
          <w:insideH w:val="single" w:sz="4" w:space="0" w:color="CDDAE0"/>
          <w:insideV w:val="nil"/>
        </w:tblBorders>
        <w:tblLayout w:type="fixed"/>
        <w:tblCellMar>
          <w:top w:w="88" w:type="dxa"/>
          <w:left w:w="115" w:type="dxa"/>
          <w:bottom w:w="88" w:type="dxa"/>
          <w:right w:w="115" w:type="dxa"/>
        </w:tblCellMar>
        <w:tblLook w:val="04A0" w:firstRow="1" w:lastRow="0" w:firstColumn="1" w:lastColumn="0" w:noHBand="0" w:noVBand="1"/>
      </w:tblPr>
      <w:tblGrid>
        <w:gridCol w:w="2272"/>
        <w:gridCol w:w="3030"/>
        <w:gridCol w:w="4166"/>
      </w:tblGrid>
      <w:tr w:rsidR="00126009" w14:paraId="411ABF77" w14:textId="77777777">
        <w:trPr>
          <w:cantSplit/>
          <w:tblHeader/>
          <w:jc w:val="center"/>
        </w:trPr>
        <w:tc>
          <w:tcPr>
            <w:tcW w:w="2272" w:type="dxa"/>
            <w:shd w:val="clear" w:color="auto" w:fill="19354A"/>
          </w:tcPr>
          <w:p w14:paraId="7DB290E4" w14:textId="77777777" w:rsidR="00126009" w:rsidRDefault="00000000">
            <w:pPr>
              <w:pStyle w:val="LectureTable"/>
              <w:keepNext/>
              <w:spacing w:after="0"/>
            </w:pPr>
            <w:r>
              <w:rPr>
                <w:b/>
                <w:color w:val="FFFFFF"/>
              </w:rPr>
              <w:t>Сторона</w:t>
            </w:r>
          </w:p>
        </w:tc>
        <w:tc>
          <w:tcPr>
            <w:tcW w:w="3030" w:type="dxa"/>
            <w:shd w:val="clear" w:color="auto" w:fill="19354A"/>
          </w:tcPr>
          <w:p w14:paraId="466D7F87" w14:textId="77777777" w:rsidR="00126009" w:rsidRDefault="00000000">
            <w:pPr>
              <w:pStyle w:val="LectureTable"/>
              <w:keepNext/>
              <w:spacing w:after="0"/>
            </w:pPr>
            <w:r>
              <w:rPr>
                <w:b/>
                <w:color w:val="FFFFFF"/>
              </w:rPr>
              <w:t>Что может интересовать</w:t>
            </w:r>
          </w:p>
        </w:tc>
        <w:tc>
          <w:tcPr>
            <w:tcW w:w="4166" w:type="dxa"/>
            <w:shd w:val="clear" w:color="auto" w:fill="19354A"/>
          </w:tcPr>
          <w:p w14:paraId="71C22BE4" w14:textId="77777777" w:rsidR="00126009" w:rsidRDefault="00000000">
            <w:pPr>
              <w:pStyle w:val="LectureTable"/>
              <w:keepNext/>
              <w:spacing w:after="0"/>
            </w:pPr>
            <w:r>
              <w:rPr>
                <w:b/>
                <w:color w:val="FFFFFF"/>
              </w:rPr>
              <w:t>Подходящий материал</w:t>
            </w:r>
          </w:p>
        </w:tc>
      </w:tr>
      <w:tr w:rsidR="00126009" w14:paraId="737E789A" w14:textId="77777777">
        <w:trPr>
          <w:cantSplit/>
          <w:jc w:val="center"/>
        </w:trPr>
        <w:tc>
          <w:tcPr>
            <w:tcW w:w="2272" w:type="dxa"/>
            <w:shd w:val="clear" w:color="auto" w:fill="F0F4F6"/>
          </w:tcPr>
          <w:p w14:paraId="3A3018F7" w14:textId="77777777" w:rsidR="00126009" w:rsidRDefault="00000000">
            <w:pPr>
              <w:pStyle w:val="LectureTable"/>
              <w:keepNext/>
              <w:spacing w:after="0"/>
            </w:pPr>
            <w:r>
              <w:t>Будущий слушатель</w:t>
            </w:r>
          </w:p>
        </w:tc>
        <w:tc>
          <w:tcPr>
            <w:tcW w:w="3030" w:type="dxa"/>
            <w:shd w:val="clear" w:color="auto" w:fill="F0F4F6"/>
          </w:tcPr>
          <w:p w14:paraId="623A8250" w14:textId="77777777" w:rsidR="00126009" w:rsidRDefault="00000000">
            <w:pPr>
              <w:pStyle w:val="LectureTable"/>
              <w:keepNext/>
              <w:spacing w:after="0"/>
            </w:pPr>
            <w:r>
              <w:t>Содержание и условия обучения</w:t>
            </w:r>
          </w:p>
        </w:tc>
        <w:tc>
          <w:tcPr>
            <w:tcW w:w="4166" w:type="dxa"/>
            <w:shd w:val="clear" w:color="auto" w:fill="F0F4F6"/>
          </w:tcPr>
          <w:p w14:paraId="79A614F2" w14:textId="77777777" w:rsidR="00126009" w:rsidRDefault="00000000">
            <w:pPr>
              <w:pStyle w:val="LectureTable"/>
              <w:keepNext/>
              <w:spacing w:after="0"/>
            </w:pPr>
            <w:r>
              <w:t>Понятное описание программы</w:t>
            </w:r>
          </w:p>
        </w:tc>
      </w:tr>
      <w:tr w:rsidR="00126009" w14:paraId="485DC5B3" w14:textId="77777777">
        <w:trPr>
          <w:cantSplit/>
          <w:jc w:val="center"/>
        </w:trPr>
        <w:tc>
          <w:tcPr>
            <w:tcW w:w="2272" w:type="dxa"/>
            <w:shd w:val="clear" w:color="auto" w:fill="FFFFFF"/>
          </w:tcPr>
          <w:p w14:paraId="55E5B357" w14:textId="77777777" w:rsidR="00126009" w:rsidRDefault="00000000">
            <w:pPr>
              <w:pStyle w:val="LectureTable"/>
              <w:keepNext/>
              <w:spacing w:after="0"/>
            </w:pPr>
            <w:r>
              <w:t>Преподаватель</w:t>
            </w:r>
          </w:p>
        </w:tc>
        <w:tc>
          <w:tcPr>
            <w:tcW w:w="3030" w:type="dxa"/>
            <w:shd w:val="clear" w:color="auto" w:fill="FFFFFF"/>
          </w:tcPr>
          <w:p w14:paraId="681DF322" w14:textId="77777777" w:rsidR="00126009" w:rsidRDefault="00000000">
            <w:pPr>
              <w:pStyle w:val="LectureTable"/>
              <w:keepNext/>
              <w:spacing w:after="0"/>
            </w:pPr>
            <w:r>
              <w:t>Нагрузка и порядок взаимодействия</w:t>
            </w:r>
          </w:p>
        </w:tc>
        <w:tc>
          <w:tcPr>
            <w:tcW w:w="4166" w:type="dxa"/>
            <w:shd w:val="clear" w:color="auto" w:fill="FFFFFF"/>
          </w:tcPr>
          <w:p w14:paraId="60055A15" w14:textId="77777777" w:rsidR="00126009" w:rsidRDefault="00000000">
            <w:pPr>
              <w:pStyle w:val="LectureTable"/>
              <w:keepNext/>
              <w:spacing w:after="0"/>
            </w:pPr>
            <w:r>
              <w:t>Рабочие правила и контакты</w:t>
            </w:r>
          </w:p>
        </w:tc>
      </w:tr>
      <w:tr w:rsidR="00126009" w14:paraId="0FDC9F4C" w14:textId="77777777">
        <w:trPr>
          <w:cantSplit/>
          <w:jc w:val="center"/>
        </w:trPr>
        <w:tc>
          <w:tcPr>
            <w:tcW w:w="2272" w:type="dxa"/>
            <w:shd w:val="clear" w:color="auto" w:fill="F0F4F6"/>
          </w:tcPr>
          <w:p w14:paraId="50763759" w14:textId="77777777" w:rsidR="00126009" w:rsidRDefault="00000000">
            <w:pPr>
              <w:pStyle w:val="LectureTable"/>
              <w:keepNext/>
              <w:spacing w:after="0"/>
            </w:pPr>
            <w:r>
              <w:t>Партнер</w:t>
            </w:r>
          </w:p>
        </w:tc>
        <w:tc>
          <w:tcPr>
            <w:tcW w:w="3030" w:type="dxa"/>
            <w:shd w:val="clear" w:color="auto" w:fill="F0F4F6"/>
          </w:tcPr>
          <w:p w14:paraId="62362A92" w14:textId="77777777" w:rsidR="00126009" w:rsidRDefault="00000000">
            <w:pPr>
              <w:pStyle w:val="LectureTable"/>
              <w:keepNext/>
              <w:spacing w:after="0"/>
            </w:pPr>
            <w:r>
              <w:t>Роли и обязательства сторон</w:t>
            </w:r>
          </w:p>
        </w:tc>
        <w:tc>
          <w:tcPr>
            <w:tcW w:w="4166" w:type="dxa"/>
            <w:shd w:val="clear" w:color="auto" w:fill="F0F4F6"/>
          </w:tcPr>
          <w:p w14:paraId="530C09B1" w14:textId="77777777" w:rsidR="00126009" w:rsidRDefault="00000000">
            <w:pPr>
              <w:pStyle w:val="LectureTable"/>
              <w:keepNext/>
              <w:spacing w:after="0"/>
            </w:pPr>
            <w:r>
              <w:t>Предложение с границами сотрудничества</w:t>
            </w:r>
          </w:p>
        </w:tc>
      </w:tr>
      <w:tr w:rsidR="00126009" w14:paraId="6B66FE4E" w14:textId="77777777">
        <w:trPr>
          <w:cantSplit/>
          <w:jc w:val="center"/>
        </w:trPr>
        <w:tc>
          <w:tcPr>
            <w:tcW w:w="2272" w:type="dxa"/>
            <w:shd w:val="clear" w:color="auto" w:fill="FFFFFF"/>
          </w:tcPr>
          <w:p w14:paraId="1DD7F1D7" w14:textId="77777777" w:rsidR="00126009" w:rsidRDefault="00000000">
            <w:pPr>
              <w:pStyle w:val="LectureTable"/>
              <w:spacing w:after="0"/>
            </w:pPr>
            <w:r>
              <w:t>Служба поддержки</w:t>
            </w:r>
          </w:p>
        </w:tc>
        <w:tc>
          <w:tcPr>
            <w:tcW w:w="3030" w:type="dxa"/>
            <w:shd w:val="clear" w:color="auto" w:fill="FFFFFF"/>
          </w:tcPr>
          <w:p w14:paraId="006586AC" w14:textId="77777777" w:rsidR="00126009" w:rsidRDefault="00000000">
            <w:pPr>
              <w:pStyle w:val="LectureTable"/>
              <w:spacing w:after="0"/>
            </w:pPr>
            <w:r>
              <w:t>Основания публичных обещаний</w:t>
            </w:r>
          </w:p>
        </w:tc>
        <w:tc>
          <w:tcPr>
            <w:tcW w:w="4166" w:type="dxa"/>
            <w:shd w:val="clear" w:color="auto" w:fill="FFFFFF"/>
          </w:tcPr>
          <w:p w14:paraId="51EC257D" w14:textId="77777777" w:rsidR="00126009" w:rsidRDefault="00000000">
            <w:pPr>
              <w:pStyle w:val="LectureTable"/>
              <w:spacing w:after="0"/>
            </w:pPr>
            <w:r>
              <w:t>Актуальная справка об услуге</w:t>
            </w:r>
          </w:p>
        </w:tc>
      </w:tr>
    </w:tbl>
    <w:p w14:paraId="6936F304" w14:textId="77777777" w:rsidR="00126009" w:rsidRDefault="00126009">
      <w:pPr>
        <w:spacing w:after="0" w:line="120" w:lineRule="exact"/>
      </w:pPr>
    </w:p>
    <w:p w14:paraId="7C15C3E1" w14:textId="77777777" w:rsidR="00126009" w:rsidRDefault="00000000">
      <w:r>
        <w:t>В модели Митчелла, Эгла и Вуда обсуждаются власть, легитимность и срочность как атрибуты значимости заинтересованных сторон [2]. Для учебной практики это способ заметить разные основания внимания, но не оправдание игнорирования маловлиятельных групп. Риск вреда и необходимость доступной информации также должны учитываться.</w:t>
      </w:r>
    </w:p>
    <w:p w14:paraId="6A08905D" w14:textId="77777777" w:rsidR="00126009" w:rsidRDefault="00000000">
      <w:r>
        <w:t>Карта сторон пересматривается при изменении проекта. Выход на новую площадку, запуск нового формата или изменение условий могут создать новые информационные потребности.</w:t>
      </w:r>
    </w:p>
    <w:p w14:paraId="659722EA" w14:textId="77777777" w:rsidR="00126009" w:rsidRDefault="00000000">
      <w:pPr>
        <w:pStyle w:val="1"/>
        <w:pageBreakBefore/>
        <w:spacing w:before="0"/>
      </w:pPr>
      <w:bookmarkStart w:id="2" w:name="Section_03"/>
      <w:bookmarkEnd w:id="2"/>
      <w:r>
        <w:lastRenderedPageBreak/>
        <w:t>Сегментация по задачам, опыту и ситуации</w:t>
      </w:r>
    </w:p>
    <w:p w14:paraId="722350C2" w14:textId="77777777" w:rsidR="00126009" w:rsidRDefault="00000000">
      <w:r>
        <w:t>Сегментация — разделение аудитории на группы, различия между которыми имеют значение для решения коммуникационной задачи. Для нашего курса наиболее полезны критерии опыта, ситуации использования, информационной потребности и барьеров понимания. Демографические сведения включаются только тогда, когда объяснена их релевантность.</w:t>
      </w:r>
    </w:p>
    <w:p w14:paraId="4FDE15F1" w14:textId="77777777" w:rsidR="00126009" w:rsidRDefault="00000000">
      <w:r>
        <w:t>Разделение «молодые — взрослые» само по себе мало сообщает о том, что нужно объяснить. Гораздо полезнее различать людей, впервые знакомящихся с услугой, и тех, кто уже сравнивает условия. Первой группе нужно понять назначение предложения, второй — увидеть сопоставимые ограничения, сроки и доказательства качества.</w:t>
      </w:r>
    </w:p>
    <w:p w14:paraId="15FC94F2" w14:textId="77777777" w:rsidR="00126009" w:rsidRDefault="00000000">
      <w:pPr>
        <w:pStyle w:val="21"/>
      </w:pPr>
      <w:r>
        <w:t>Учебный алгоритм</w:t>
      </w:r>
    </w:p>
    <w:p w14:paraId="15EACBF4" w14:textId="77777777" w:rsidR="00126009" w:rsidRDefault="00000000">
      <w:r>
        <w:t>Сначала назовите решение, которое предстоит аудитории. Затем перечислите возможные затруднения. После этого объедините людей с похожими информационными задачами и проверьте, нужны ли группам действительно разные сообщения. Если различие не влияет на содержание или способ контакта, отдельный сегмент может быть лишним.</w:t>
      </w:r>
    </w:p>
    <w:p w14:paraId="6B9F006B" w14:textId="77777777" w:rsidR="00126009" w:rsidRDefault="00000000">
      <w:r>
        <w:t>У аудитории начинающего дизайнера можно выделить заказчиков, которым нужно впервые объяснить процесс разработки, и опытных заказчиков, уточняющих условия передачи материалов. Первым полезна схема этапов, вторым — конкретное описание состава результата. При этом портфолио и границы опыта автора остаются одинаково достоверными для обеих групп.</w:t>
      </w:r>
    </w:p>
    <w:p w14:paraId="4DDFEC3A" w14:textId="77777777" w:rsidR="00126009" w:rsidRDefault="00000000">
      <w:r>
        <w:t>Не следует создавать сегменты на основе предположений о личных слабостях: «такие люди легко поддаются давлению». В учебном проекте изучаются вопросы и затруднения, которые можно уважительно обсуждать с самими участниками. Предложение информации отличается от скрытого использования уязвимости.</w:t>
      </w:r>
    </w:p>
    <w:p w14:paraId="22764184" w14:textId="77777777" w:rsidR="00126009" w:rsidRDefault="00000000">
      <w:pPr>
        <w:pStyle w:val="LectureCallout"/>
        <w:keepLines/>
        <w:pBdr>
          <w:top w:val="single" w:sz="4" w:space="6" w:color="EFF5F6"/>
          <w:left w:val="single" w:sz="16" w:space="8" w:color="176B72"/>
          <w:bottom w:val="single" w:sz="4" w:space="6" w:color="EFF5F6"/>
        </w:pBdr>
        <w:shd w:val="clear" w:color="auto" w:fill="EFF5F6"/>
        <w:spacing w:before="160" w:after="240"/>
        <w:ind w:left="200" w:right="200"/>
      </w:pPr>
      <w:r>
        <w:t>Хороший сегмент объясняет, почему людям требуется разное содержание или формат. Он не просто присваивает группе удобное название.</w:t>
      </w:r>
    </w:p>
    <w:p w14:paraId="2DBC33A1" w14:textId="77777777" w:rsidR="00126009" w:rsidRDefault="00000000">
      <w:r>
        <w:t>В отчете указывают, какие сегменты подтверждены наблюдениями, а какие пока предложены как гипотезы. Эта маркировка предотвращает превращение фантазии автора в описание реальной аудитории.</w:t>
      </w:r>
    </w:p>
    <w:p w14:paraId="281576B0" w14:textId="77777777" w:rsidR="00126009" w:rsidRDefault="00000000">
      <w:pPr>
        <w:pStyle w:val="1"/>
        <w:pageBreakBefore/>
        <w:spacing w:before="0"/>
      </w:pPr>
      <w:bookmarkStart w:id="3" w:name="Section_04"/>
      <w:bookmarkEnd w:id="3"/>
      <w:r>
        <w:lastRenderedPageBreak/>
        <w:t>Профиль аудитории: данные вместо вымышленной уверенности</w:t>
      </w:r>
    </w:p>
    <w:p w14:paraId="5A77178D" w14:textId="77777777" w:rsidR="00126009" w:rsidRDefault="00000000">
      <w:r>
        <w:t>Профиль аудитории объединяет ее задачу, контекст, известные сведения об объекте, вопросы, барьеры и способы контакта. Иногда такой профиль оформляют как персону — условного представителя группы. Персона полезна для обсуждения, но не становится исследовательским результатом только потому, что у нее появились имя и фотография.</w:t>
      </w:r>
    </w:p>
    <w:p w14:paraId="25CF5F5B" w14:textId="77777777" w:rsidR="00126009" w:rsidRDefault="00000000">
      <w:r>
        <w:t>Предлагается различать три статуса сведений: подтверждено, предположено, неизвестно. Например, «в пяти интервью участники просили примеры работ» — наблюдение ограниченного исследования. «Им важен короткий формат видео» — гипотеза, если этот вопрос не изучался. «Предпочтительная частота публикаций» — неизвестно, если данных нет.</w:t>
      </w:r>
    </w:p>
    <w:p w14:paraId="1F89E573" w14:textId="77777777" w:rsidR="00126009" w:rsidRDefault="00000000">
      <w:pPr>
        <w:pStyle w:val="21"/>
      </w:pPr>
      <w:r>
        <w:t>Из чего составить рабочий профиль</w:t>
      </w:r>
    </w:p>
    <w:p w14:paraId="083439E2" w14:textId="77777777" w:rsidR="00126009" w:rsidRDefault="00000000">
      <w:r>
        <w:t>Опишите задачу человека его собственными словами, если они получены с согласия. Укажите момент взаимодействия, критерии понятности, нужные подтверждения и следующий информационный шаг. Не добавляйте декоративные сведения о доходе, семейной жизни или привычках, если они не помогают решить задачу.</w:t>
      </w:r>
    </w:p>
    <w:p w14:paraId="569D430E" w14:textId="77777777" w:rsidR="00126009" w:rsidRDefault="00000000">
      <w:r>
        <w:t>Для проверки профиля можно провести несколько интервью или наблюдений. Рекомендации AAPOR подчеркивают необходимость ясно определять изучаемую совокупность и прозрачно описывать процедуру исследования [3]. В учебной работе это означает сообщать, кого пригласили и почему выводы нельзя безоговорочно переносить на всех.</w:t>
      </w:r>
    </w:p>
    <w:p w14:paraId="6A225383" w14:textId="77777777" w:rsidR="00126009" w:rsidRDefault="00000000">
      <w:r>
        <w:t>Профиль не должен скрывать различия внутри группы. Два начинающих заказчика могут одинаково плохо понимать этапы работы, но иметь разные сроки и доступные способы общения. Поэтому полезно указывать не только типичную потребность, но и варианты условий.</w:t>
      </w:r>
    </w:p>
    <w:p w14:paraId="41EACA37" w14:textId="77777777" w:rsidR="00126009" w:rsidRDefault="00000000">
      <w:r>
        <w:t>После получения новой информации профиль обновляют. Неудачный тест материала может показать, что проблема состояла не в сложной терминологии, а в отсутствии конкретного примера. В таком случае меняют исходную гипотезу, а не пытаются объяснить несогласие аудитории ее «неправильным» восприятием.</w:t>
      </w:r>
    </w:p>
    <w:p w14:paraId="675C82F5" w14:textId="77777777" w:rsidR="00126009" w:rsidRDefault="00000000">
      <w:pPr>
        <w:pStyle w:val="1"/>
        <w:pageBreakBefore/>
        <w:spacing w:before="0"/>
      </w:pPr>
      <w:bookmarkStart w:id="4" w:name="Section_05"/>
      <w:bookmarkEnd w:id="4"/>
      <w:r>
        <w:lastRenderedPageBreak/>
        <w:t>Точки контакта и маршрут знакомства</w:t>
      </w:r>
    </w:p>
    <w:p w14:paraId="6318EF2E" w14:textId="77777777" w:rsidR="00126009" w:rsidRDefault="00000000">
      <w:r>
        <w:t>Точка контакта — ситуация, в которой человек получает информацию об объекте или взаимодействует с ним. Это может быть поисковый результат, профиль, письмо, беседа, заявка, ответ поддержки или повторное обращение. Для имиджа важно рассматривать не только рекламное сообщение, но и переходы между этими ситуациями.</w:t>
      </w:r>
    </w:p>
    <w:p w14:paraId="4E9CB36B" w14:textId="77777777" w:rsidR="00126009" w:rsidRDefault="00000000">
      <w:r>
        <w:t>Маршрут знакомства показывает, что аудитория пытается понять на каждом этапе. В начале — назначение предложения, затем — применимость к своей задаче, далее — условия взаимодействия. После контакта оценивается согласованность обещания и опыта. Это учебная схема анализа, а не утверждение, что все люди проходят одинаковый линейный путь.</w:t>
      </w:r>
    </w:p>
    <w:tbl>
      <w:tblPr>
        <w:tblW w:w="9468" w:type="dxa"/>
        <w:jc w:val="center"/>
        <w:tblBorders>
          <w:top w:val="single" w:sz="4" w:space="0" w:color="CDDAE0"/>
          <w:left w:val="nil"/>
          <w:bottom w:val="single" w:sz="4" w:space="0" w:color="CDDAE0"/>
          <w:right w:val="nil"/>
          <w:insideH w:val="single" w:sz="4" w:space="0" w:color="CDDAE0"/>
          <w:insideV w:val="nil"/>
        </w:tblBorders>
        <w:tblLayout w:type="fixed"/>
        <w:tblCellMar>
          <w:top w:w="88" w:type="dxa"/>
          <w:left w:w="115" w:type="dxa"/>
          <w:bottom w:w="88" w:type="dxa"/>
          <w:right w:w="115" w:type="dxa"/>
        </w:tblCellMar>
        <w:tblLook w:val="04A0" w:firstRow="1" w:lastRow="0" w:firstColumn="1" w:lastColumn="0" w:noHBand="0" w:noVBand="1"/>
      </w:tblPr>
      <w:tblGrid>
        <w:gridCol w:w="2272"/>
        <w:gridCol w:w="3030"/>
        <w:gridCol w:w="4166"/>
      </w:tblGrid>
      <w:tr w:rsidR="00126009" w14:paraId="30D60078" w14:textId="77777777">
        <w:trPr>
          <w:cantSplit/>
          <w:tblHeader/>
          <w:jc w:val="center"/>
        </w:trPr>
        <w:tc>
          <w:tcPr>
            <w:tcW w:w="2272" w:type="dxa"/>
            <w:shd w:val="clear" w:color="auto" w:fill="19354A"/>
          </w:tcPr>
          <w:p w14:paraId="6C9BE570" w14:textId="77777777" w:rsidR="00126009" w:rsidRDefault="00000000">
            <w:pPr>
              <w:pStyle w:val="LectureTable"/>
              <w:keepNext/>
              <w:spacing w:after="0"/>
            </w:pPr>
            <w:r>
              <w:rPr>
                <w:b/>
                <w:color w:val="FFFFFF"/>
              </w:rPr>
              <w:t>Этап</w:t>
            </w:r>
          </w:p>
        </w:tc>
        <w:tc>
          <w:tcPr>
            <w:tcW w:w="3030" w:type="dxa"/>
            <w:shd w:val="clear" w:color="auto" w:fill="19354A"/>
          </w:tcPr>
          <w:p w14:paraId="33BDE429" w14:textId="77777777" w:rsidR="00126009" w:rsidRDefault="00000000">
            <w:pPr>
              <w:pStyle w:val="LectureTable"/>
              <w:keepNext/>
              <w:spacing w:after="0"/>
            </w:pPr>
            <w:r>
              <w:rPr>
                <w:b/>
                <w:color w:val="FFFFFF"/>
              </w:rPr>
              <w:t>Вопрос аудитории</w:t>
            </w:r>
          </w:p>
        </w:tc>
        <w:tc>
          <w:tcPr>
            <w:tcW w:w="4166" w:type="dxa"/>
            <w:shd w:val="clear" w:color="auto" w:fill="19354A"/>
          </w:tcPr>
          <w:p w14:paraId="16E6D715" w14:textId="77777777" w:rsidR="00126009" w:rsidRDefault="00000000">
            <w:pPr>
              <w:pStyle w:val="LectureTable"/>
              <w:keepNext/>
              <w:spacing w:after="0"/>
            </w:pPr>
            <w:r>
              <w:rPr>
                <w:b/>
                <w:color w:val="FFFFFF"/>
              </w:rPr>
              <w:t>Что проверить</w:t>
            </w:r>
          </w:p>
        </w:tc>
      </w:tr>
      <w:tr w:rsidR="00126009" w14:paraId="72C2459F" w14:textId="77777777">
        <w:trPr>
          <w:cantSplit/>
          <w:jc w:val="center"/>
        </w:trPr>
        <w:tc>
          <w:tcPr>
            <w:tcW w:w="2272" w:type="dxa"/>
            <w:shd w:val="clear" w:color="auto" w:fill="F0F4F6"/>
          </w:tcPr>
          <w:p w14:paraId="1CDCCC25" w14:textId="77777777" w:rsidR="00126009" w:rsidRDefault="00000000">
            <w:pPr>
              <w:pStyle w:val="LectureTable"/>
              <w:keepNext/>
              <w:spacing w:after="0"/>
            </w:pPr>
            <w:r>
              <w:t>Первое знакомство</w:t>
            </w:r>
          </w:p>
        </w:tc>
        <w:tc>
          <w:tcPr>
            <w:tcW w:w="3030" w:type="dxa"/>
            <w:shd w:val="clear" w:color="auto" w:fill="F0F4F6"/>
          </w:tcPr>
          <w:p w14:paraId="5D906508" w14:textId="77777777" w:rsidR="00126009" w:rsidRDefault="00000000">
            <w:pPr>
              <w:pStyle w:val="LectureTable"/>
              <w:keepNext/>
              <w:spacing w:after="0"/>
            </w:pPr>
            <w:r>
              <w:t>Кто это и чем занимается?</w:t>
            </w:r>
          </w:p>
        </w:tc>
        <w:tc>
          <w:tcPr>
            <w:tcW w:w="4166" w:type="dxa"/>
            <w:shd w:val="clear" w:color="auto" w:fill="F0F4F6"/>
          </w:tcPr>
          <w:p w14:paraId="0780C996" w14:textId="77777777" w:rsidR="00126009" w:rsidRDefault="00000000">
            <w:pPr>
              <w:pStyle w:val="LectureTable"/>
              <w:keepNext/>
              <w:spacing w:after="0"/>
            </w:pPr>
            <w:r>
              <w:t>Ясность роли и названия</w:t>
            </w:r>
          </w:p>
        </w:tc>
      </w:tr>
      <w:tr w:rsidR="00126009" w14:paraId="6F199816" w14:textId="77777777">
        <w:trPr>
          <w:cantSplit/>
          <w:jc w:val="center"/>
        </w:trPr>
        <w:tc>
          <w:tcPr>
            <w:tcW w:w="2272" w:type="dxa"/>
            <w:shd w:val="clear" w:color="auto" w:fill="FFFFFF"/>
          </w:tcPr>
          <w:p w14:paraId="21F5E591" w14:textId="77777777" w:rsidR="00126009" w:rsidRDefault="00000000">
            <w:pPr>
              <w:pStyle w:val="LectureTable"/>
              <w:keepNext/>
              <w:spacing w:after="0"/>
            </w:pPr>
            <w:r>
              <w:t>Изучение</w:t>
            </w:r>
          </w:p>
        </w:tc>
        <w:tc>
          <w:tcPr>
            <w:tcW w:w="3030" w:type="dxa"/>
            <w:shd w:val="clear" w:color="auto" w:fill="FFFFFF"/>
          </w:tcPr>
          <w:p w14:paraId="7174A871" w14:textId="77777777" w:rsidR="00126009" w:rsidRDefault="00000000">
            <w:pPr>
              <w:pStyle w:val="LectureTable"/>
              <w:keepNext/>
              <w:spacing w:after="0"/>
            </w:pPr>
            <w:r>
              <w:t>Подходит ли мне предложение?</w:t>
            </w:r>
          </w:p>
        </w:tc>
        <w:tc>
          <w:tcPr>
            <w:tcW w:w="4166" w:type="dxa"/>
            <w:shd w:val="clear" w:color="auto" w:fill="FFFFFF"/>
          </w:tcPr>
          <w:p w14:paraId="236EDCCE" w14:textId="77777777" w:rsidR="00126009" w:rsidRDefault="00000000">
            <w:pPr>
              <w:pStyle w:val="LectureTable"/>
              <w:keepNext/>
              <w:spacing w:after="0"/>
            </w:pPr>
            <w:r>
              <w:t>Примеры, условия, ограничения</w:t>
            </w:r>
          </w:p>
        </w:tc>
      </w:tr>
      <w:tr w:rsidR="00126009" w14:paraId="4CA4D8BA" w14:textId="77777777">
        <w:trPr>
          <w:cantSplit/>
          <w:jc w:val="center"/>
        </w:trPr>
        <w:tc>
          <w:tcPr>
            <w:tcW w:w="2272" w:type="dxa"/>
            <w:shd w:val="clear" w:color="auto" w:fill="F0F4F6"/>
          </w:tcPr>
          <w:p w14:paraId="43EC683F" w14:textId="77777777" w:rsidR="00126009" w:rsidRDefault="00000000">
            <w:pPr>
              <w:pStyle w:val="LectureTable"/>
              <w:keepNext/>
              <w:spacing w:after="0"/>
            </w:pPr>
            <w:r>
              <w:t>Обращение</w:t>
            </w:r>
          </w:p>
        </w:tc>
        <w:tc>
          <w:tcPr>
            <w:tcW w:w="3030" w:type="dxa"/>
            <w:shd w:val="clear" w:color="auto" w:fill="F0F4F6"/>
          </w:tcPr>
          <w:p w14:paraId="5F681439" w14:textId="77777777" w:rsidR="00126009" w:rsidRDefault="00000000">
            <w:pPr>
              <w:pStyle w:val="LectureTable"/>
              <w:keepNext/>
              <w:spacing w:after="0"/>
            </w:pPr>
            <w:r>
              <w:t>Как задать вопрос?</w:t>
            </w:r>
          </w:p>
        </w:tc>
        <w:tc>
          <w:tcPr>
            <w:tcW w:w="4166" w:type="dxa"/>
            <w:shd w:val="clear" w:color="auto" w:fill="F0F4F6"/>
          </w:tcPr>
          <w:p w14:paraId="36DCB8A8" w14:textId="77777777" w:rsidR="00126009" w:rsidRDefault="00000000">
            <w:pPr>
              <w:pStyle w:val="LectureTable"/>
              <w:keepNext/>
              <w:spacing w:after="0"/>
            </w:pPr>
            <w:r>
              <w:t>Доступность контакта и инструкции</w:t>
            </w:r>
          </w:p>
        </w:tc>
      </w:tr>
      <w:tr w:rsidR="00126009" w14:paraId="1C77DF5F" w14:textId="77777777">
        <w:trPr>
          <w:cantSplit/>
          <w:jc w:val="center"/>
        </w:trPr>
        <w:tc>
          <w:tcPr>
            <w:tcW w:w="2272" w:type="dxa"/>
            <w:shd w:val="clear" w:color="auto" w:fill="FFFFFF"/>
          </w:tcPr>
          <w:p w14:paraId="6B1B2D49" w14:textId="77777777" w:rsidR="00126009" w:rsidRDefault="00000000">
            <w:pPr>
              <w:pStyle w:val="LectureTable"/>
              <w:keepNext/>
              <w:spacing w:after="0"/>
            </w:pPr>
            <w:r>
              <w:t>Взаимодействие</w:t>
            </w:r>
          </w:p>
        </w:tc>
        <w:tc>
          <w:tcPr>
            <w:tcW w:w="3030" w:type="dxa"/>
            <w:shd w:val="clear" w:color="auto" w:fill="FFFFFF"/>
          </w:tcPr>
          <w:p w14:paraId="0CA541EF" w14:textId="77777777" w:rsidR="00126009" w:rsidRDefault="00000000">
            <w:pPr>
              <w:pStyle w:val="LectureTable"/>
              <w:keepNext/>
              <w:spacing w:after="0"/>
            </w:pPr>
            <w:r>
              <w:t>Выполняется ли обещанный порядок?</w:t>
            </w:r>
          </w:p>
        </w:tc>
        <w:tc>
          <w:tcPr>
            <w:tcW w:w="4166" w:type="dxa"/>
            <w:shd w:val="clear" w:color="auto" w:fill="FFFFFF"/>
          </w:tcPr>
          <w:p w14:paraId="3ADF1D68" w14:textId="77777777" w:rsidR="00126009" w:rsidRDefault="00000000">
            <w:pPr>
              <w:pStyle w:val="LectureTable"/>
              <w:keepNext/>
              <w:spacing w:after="0"/>
            </w:pPr>
            <w:r>
              <w:t>Ответы, сроки и согласования</w:t>
            </w:r>
          </w:p>
        </w:tc>
      </w:tr>
      <w:tr w:rsidR="00126009" w14:paraId="34F2BE28" w14:textId="77777777">
        <w:trPr>
          <w:cantSplit/>
          <w:jc w:val="center"/>
        </w:trPr>
        <w:tc>
          <w:tcPr>
            <w:tcW w:w="2272" w:type="dxa"/>
            <w:shd w:val="clear" w:color="auto" w:fill="F0F4F6"/>
          </w:tcPr>
          <w:p w14:paraId="3DC10904" w14:textId="77777777" w:rsidR="00126009" w:rsidRDefault="00000000">
            <w:pPr>
              <w:pStyle w:val="LectureTable"/>
              <w:spacing w:after="0"/>
            </w:pPr>
            <w:r>
              <w:t>Повторная оценка</w:t>
            </w:r>
          </w:p>
        </w:tc>
        <w:tc>
          <w:tcPr>
            <w:tcW w:w="3030" w:type="dxa"/>
            <w:shd w:val="clear" w:color="auto" w:fill="F0F4F6"/>
          </w:tcPr>
          <w:p w14:paraId="3183BF90" w14:textId="77777777" w:rsidR="00126009" w:rsidRDefault="00000000">
            <w:pPr>
              <w:pStyle w:val="LectureTable"/>
              <w:spacing w:after="0"/>
            </w:pPr>
            <w:r>
              <w:t>Чего ожидать дальше?</w:t>
            </w:r>
          </w:p>
        </w:tc>
        <w:tc>
          <w:tcPr>
            <w:tcW w:w="4166" w:type="dxa"/>
            <w:shd w:val="clear" w:color="auto" w:fill="F0F4F6"/>
          </w:tcPr>
          <w:p w14:paraId="2658BA60" w14:textId="77777777" w:rsidR="00126009" w:rsidRDefault="00000000">
            <w:pPr>
              <w:pStyle w:val="LectureTable"/>
              <w:spacing w:after="0"/>
            </w:pPr>
            <w:r>
              <w:t>Последовательность опыта</w:t>
            </w:r>
          </w:p>
        </w:tc>
      </w:tr>
    </w:tbl>
    <w:p w14:paraId="5F75D0BB" w14:textId="77777777" w:rsidR="00126009" w:rsidRDefault="00126009">
      <w:pPr>
        <w:spacing w:after="0" w:line="120" w:lineRule="exact"/>
      </w:pPr>
    </w:p>
    <w:p w14:paraId="45D58BB9" w14:textId="77777777" w:rsidR="00126009" w:rsidRDefault="00000000">
      <w:r>
        <w:t>Важны разрывы между каналами. Сайт обещает ответ в течение рабочего дня, а автоматическое письмо не сообщает сроков. Профиль представляет специалиста как преподавателя, но страница записи предлагает другую услугу без пояснений. Такие различия дают основания для проверки, а не для немедленного вывода о намеренном обмане.</w:t>
      </w:r>
    </w:p>
    <w:p w14:paraId="2C5E005D" w14:textId="77777777" w:rsidR="00126009" w:rsidRDefault="00000000">
      <w:r>
        <w:t>Для карты контактов не требуется перечислять все возможные платформы. Выберите три-пять реально значимых ситуаций и проверьте, какую информацию получает человек. Иногда улучшение инструкции в точке обращения полезнее запуска дополнительного канала.</w:t>
      </w:r>
    </w:p>
    <w:p w14:paraId="2D40C68E" w14:textId="77777777" w:rsidR="00126009" w:rsidRDefault="00000000">
      <w:r>
        <w:t>В отчете отдельно отмечайте, какие этапы наблюдались лично, какие описаны участниками, а какие реконструированы предположительно. Различие источников важно для уверенности в выводах.</w:t>
      </w:r>
    </w:p>
    <w:p w14:paraId="290DF61A" w14:textId="77777777" w:rsidR="00126009" w:rsidRDefault="00000000">
      <w:pPr>
        <w:pStyle w:val="1"/>
        <w:pageBreakBefore/>
        <w:spacing w:before="0"/>
      </w:pPr>
      <w:bookmarkStart w:id="5" w:name="Section_06"/>
      <w:bookmarkEnd w:id="5"/>
      <w:r>
        <w:lastRenderedPageBreak/>
        <w:t>Социокультурный контекст и доступность</w:t>
      </w:r>
    </w:p>
    <w:p w14:paraId="17A705FC" w14:textId="77777777" w:rsidR="00126009" w:rsidRDefault="00000000">
      <w:r>
        <w:t>Социокультурный контекст включает языковые привычки, профессиональные нормы, опыт взаимодействия и организационные условия. Его нельзя свести к таблице национальных характеров. Даже внутри одной страны или компании люди могут предпочитать разные способы обращения, уровень подробности и формат встречи.</w:t>
      </w:r>
    </w:p>
    <w:p w14:paraId="7D9D5369" w14:textId="77777777" w:rsidR="00126009" w:rsidRDefault="00000000">
      <w:r>
        <w:t>Практический подход состоит в уточнении норм конкретной ситуации. Каким языком удобно пользоваться? Нужно ли заранее прислать материалы? Как принято обозначать роли? Можно ли задавать вопросы в чате? Такие вопросы дают более надежное основание, чем предположение о поведении человека по гражданству или возрасту.</w:t>
      </w:r>
    </w:p>
    <w:p w14:paraId="1795CC32" w14:textId="77777777" w:rsidR="00126009" w:rsidRDefault="00000000">
      <w:pPr>
        <w:pStyle w:val="21"/>
      </w:pPr>
      <w:r>
        <w:t>Работа с несколькими языками</w:t>
      </w:r>
    </w:p>
    <w:p w14:paraId="68C7671D" w14:textId="77777777" w:rsidR="00126009" w:rsidRDefault="00000000">
      <w:r>
        <w:t>Перевод должен сохранять содержание обещаний и ограничений. Если одна версия страницы описывает курс как вводный, а другая — как профессиональную переподготовку, возникает смысловая несогласованность. Поэтому проверяется не только грамматика, но и эквивалентность ролей, условий, дат и терминов.</w:t>
      </w:r>
    </w:p>
    <w:p w14:paraId="44CBB247" w14:textId="77777777" w:rsidR="00126009" w:rsidRDefault="00000000">
      <w:r>
        <w:t>Доступность тоже относится к анализу аудитории. Видео без текстовой версии может быть неудобно человеку с ограниченным интернетом или особенностями восприятия. Сложная навигация затрудняет поиск условий даже при привлекательном дизайне. В проекте следует предусмотреть альтернативные способы получения ключевой информации, не предполагая, что все пользуются одинаковыми устройствами.</w:t>
      </w:r>
    </w:p>
    <w:p w14:paraId="55833977" w14:textId="77777777" w:rsidR="00126009" w:rsidRDefault="00000000">
      <w:r>
        <w:t>Уважение различий не означает бесконечную индивидуализацию каждого материала. Можно создать понятное общее ядро, отдельный блок уточнений и доступный канал для вопросов. Важно, чтобы существенные условия не были спрятаны в версии, которую часть аудитории не сможет открыть.</w:t>
      </w:r>
    </w:p>
    <w:p w14:paraId="264064BF" w14:textId="77777777" w:rsidR="00126009" w:rsidRDefault="00000000">
      <w:pPr>
        <w:pStyle w:val="LectureCallout"/>
        <w:keepLines/>
        <w:pBdr>
          <w:top w:val="single" w:sz="4" w:space="6" w:color="EFF5F6"/>
          <w:left w:val="single" w:sz="16" w:space="8" w:color="176B72"/>
          <w:bottom w:val="single" w:sz="4" w:space="6" w:color="EFF5F6"/>
        </w:pBdr>
        <w:shd w:val="clear" w:color="auto" w:fill="EFF5F6"/>
        <w:spacing w:before="160" w:after="240"/>
        <w:ind w:left="200" w:right="200"/>
      </w:pPr>
      <w:r>
        <w:t>Контекст проверяют через наблюдение и диалог. Его не выводят автоматически из внешности, имени или предполагаемой принадлежности человека к социальной группе.</w:t>
      </w:r>
    </w:p>
    <w:p w14:paraId="0F65B70D" w14:textId="77777777" w:rsidR="00126009" w:rsidRDefault="00000000">
      <w:r>
        <w:t>Для дистанционного курса это означает также учет часовых поясов, асинхронного участия и возможности изучать материалы без обязательного присутствия на каждой видеовстрече.</w:t>
      </w:r>
    </w:p>
    <w:p w14:paraId="4C2C2206" w14:textId="77777777" w:rsidR="00126009" w:rsidRDefault="00000000">
      <w:pPr>
        <w:pStyle w:val="1"/>
        <w:pageBreakBefore/>
        <w:spacing w:before="0"/>
      </w:pPr>
      <w:bookmarkStart w:id="6" w:name="Section_07"/>
      <w:bookmarkEnd w:id="6"/>
      <w:r>
        <w:lastRenderedPageBreak/>
        <w:t>Приоритеты и архитектура сообщений</w:t>
      </w:r>
    </w:p>
    <w:p w14:paraId="542211C7" w14:textId="77777777" w:rsidR="00126009" w:rsidRDefault="00000000">
      <w:r>
        <w:t>Ресурсы проекта ограничены, поэтому аудитории приходится упорядочивать по значимости текущей задачи. Но приоритет не равен человеческой ценности группы. В первую очередь выясняют, кого непосредственно затрагивает изменение, где выше риск непонимания и кому информация нужна раньше для осмысленного решения.</w:t>
      </w:r>
    </w:p>
    <w:p w14:paraId="3A10D1B7" w14:textId="77777777" w:rsidR="00126009" w:rsidRDefault="00000000">
      <w:r>
        <w:t>Удобно оценивать три основания: связь с целью, последствия недостаточной информации и срочность. Например, при переносе занятия текущим слушателям необходимо сообщить новые условия раньше, чем обновлять рекламные публикации для будущих участников. Такой выбор связан с обязательствами, а не с популярностью аудитории.</w:t>
      </w:r>
    </w:p>
    <w:p w14:paraId="324A2BD4" w14:textId="77777777" w:rsidR="00126009" w:rsidRDefault="00000000">
      <w:pPr>
        <w:pStyle w:val="21"/>
      </w:pPr>
      <w:r>
        <w:t>Одно ядро — разные пояснения</w:t>
      </w:r>
    </w:p>
    <w:p w14:paraId="62802F64" w14:textId="77777777" w:rsidR="00126009" w:rsidRDefault="00000000">
      <w:r>
        <w:t>Архитектура сообщений включает общее достоверное утверждение и адаптированные пояснения для групп. Ядро: «программа знакомит с основами анализа клиентского опыта». Для новичка поясняется содержание понятий; для работодателя — какие учебные задачи выполняются; для преподавателя — как организована обратная связь.</w:t>
      </w:r>
    </w:p>
    <w:p w14:paraId="6AA70530" w14:textId="77777777" w:rsidR="00126009" w:rsidRDefault="00000000">
      <w:r>
        <w:t>Сообщения не должны противоречить друг другу. Нельзя одной группе обещать индивидуальное сопровождение, а другой описывать тот же продукт как полностью самостоятельный, если различие условий не обозначено. Адаптация меняет релевантный акцент, но не фактическую конструкцию предложения.</w:t>
      </w:r>
    </w:p>
    <w:p w14:paraId="247EF7ED" w14:textId="77777777" w:rsidR="00126009" w:rsidRDefault="00000000">
      <w:r>
        <w:t>При выборе канала оценивают его функцию: объяснить, дать доказательство, организовать вопрос или зафиксировать договоренность. Канал с большим охватом не обязательно лучше подходит для подробного согласования. Иногда достаточно письма или закрытой страницы с ясной инструкцией.</w:t>
      </w:r>
    </w:p>
    <w:p w14:paraId="35FA11BF" w14:textId="77777777" w:rsidR="00126009" w:rsidRDefault="00000000">
      <w:r>
        <w:t>Перед реализацией составьте матрицу: аудитория, вопрос, ключевой тезис, подтверждение, формат и способ проверки понимания. Если в строке отсутствует подтверждение, не стоит усиливать обещание только потому, что оно кажется привлекательным.</w:t>
      </w:r>
    </w:p>
    <w:p w14:paraId="55878D46" w14:textId="77777777" w:rsidR="00126009" w:rsidRDefault="00000000">
      <w:r>
        <w:t>Наконец, предусмотрите обратный канал. Односторонний материал не позволяет заранее угадать все вопросы. Контакт для уточнений помогает обнаружить то, что не было учтено в первоначальной карте.</w:t>
      </w:r>
    </w:p>
    <w:p w14:paraId="4C439BCF" w14:textId="77777777" w:rsidR="00126009" w:rsidRDefault="00000000">
      <w:pPr>
        <w:pStyle w:val="1"/>
        <w:pageBreakBefore/>
        <w:spacing w:before="0"/>
      </w:pPr>
      <w:bookmarkStart w:id="7" w:name="Section_08"/>
      <w:bookmarkEnd w:id="7"/>
      <w:r>
        <w:lastRenderedPageBreak/>
        <w:t>Учебный кейс: три аудитории одной студии</w:t>
      </w:r>
    </w:p>
    <w:p w14:paraId="58BD24D2" w14:textId="77777777" w:rsidR="00126009" w:rsidRDefault="00000000">
      <w:r>
        <w:t>Кейс вымышленный. Студия «Практика» запускает вводную программу по визуальным коммуникациям. Команда подготовила один текст: «Станьте востребованным экспертом за месяц». Его планируют использовать для будущих слушателей, приглашенных преподавателей и партнерской площадки. Реальная программа состоит из четырех вводных занятий и учебного проекта.</w:t>
      </w:r>
    </w:p>
    <w:p w14:paraId="6B3A7736" w14:textId="77777777" w:rsidR="00126009" w:rsidRDefault="00000000">
      <w:pPr>
        <w:pStyle w:val="21"/>
      </w:pPr>
      <w:r>
        <w:t>Что не так с исходной постановкой</w:t>
      </w:r>
    </w:p>
    <w:p w14:paraId="3CFC342D" w14:textId="77777777" w:rsidR="00126009" w:rsidRDefault="00000000">
      <w:r>
        <w:t>Обещание экспертного статуса не подтверждено содержанием. Кроме того, один текст не отвечает на разные вопросы сторон. Слушателю нужны темы и исходные требования, преподавателю — нагрузка и формат оценивания, площадке — расписание и распределение организационных обязанностей.</w:t>
      </w:r>
    </w:p>
    <w:p w14:paraId="326A6902" w14:textId="77777777" w:rsidR="00126009" w:rsidRDefault="00000000">
      <w:r>
        <w:t>Сначала команда уточняет общее ядро: «Вводная программа: основы визуальной коммуникации и разработка учебного макета». Затем готовит три пояснения. Для слушателей — результаты обучения, ограничения и примеры задания. Для преподавателей — обязанности и методические материалы. Для площадки — условия проведения и контакты ответственных.</w:t>
      </w:r>
    </w:p>
    <w:p w14:paraId="374B3038" w14:textId="77777777" w:rsidR="00126009" w:rsidRDefault="00000000">
      <w:pPr>
        <w:pStyle w:val="21"/>
      </w:pPr>
      <w:r>
        <w:t>Как проверить карту</w:t>
      </w:r>
    </w:p>
    <w:p w14:paraId="5A859A8D" w14:textId="77777777" w:rsidR="00126009" w:rsidRDefault="00000000">
      <w:r>
        <w:t>Пять добровольных участников учебного просмотра получили страницу для слушателей. Трое правильно определили вводный уровень, двое ожидали профессиональной квалификации из-за старого заголовка на изображении. Это не оценка всего рынка, но конкретное указание на несогласованность элементов страницы.</w:t>
      </w:r>
    </w:p>
    <w:p w14:paraId="5286F4A1" w14:textId="77777777" w:rsidR="00126009" w:rsidRDefault="00000000">
      <w:r>
        <w:t>Решение — исправить не только основной текст, но и изображение, автоматическое письмо и описание формы записи. Затем повторить проверку понимания уровня программы. Запуск новых каналов до исправления противоречия лишь распространял бы ту же неоднозначность.</w:t>
      </w:r>
    </w:p>
    <w:p w14:paraId="1E63A36D" w14:textId="77777777" w:rsidR="00126009" w:rsidRDefault="00000000">
      <w:r>
        <w:t>Итог кейса: изучение аудитории определяет не только стиль текста, но и состав обязательной информации. Общая честная основа сохраняется для всех, а пояснения различаются по задаче и моменту контакта.</w:t>
      </w:r>
    </w:p>
    <w:p w14:paraId="6F814564" w14:textId="77777777" w:rsidR="00126009" w:rsidRDefault="00000000">
      <w:pPr>
        <w:pStyle w:val="1"/>
        <w:pageBreakBefore/>
        <w:spacing w:before="0"/>
      </w:pPr>
      <w:bookmarkStart w:id="8" w:name="Section_09"/>
      <w:bookmarkEnd w:id="8"/>
      <w:r>
        <w:lastRenderedPageBreak/>
        <w:t>Самостоятельная работа: карта трех аудиторий</w:t>
      </w:r>
    </w:p>
    <w:p w14:paraId="4D500164" w14:textId="77777777" w:rsidR="00126009" w:rsidRDefault="00000000">
      <w:r>
        <w:t>Для выбранного объекта выделите три аудитории. Не ограничивайтесь их названиями: опишите задачу, уровень знакомства с объектом, информационные потребности и ограничения контакта. Укажите источник каждого существенного сведения: наблюдение, интервью, документ или собственная гипотеза.</w:t>
      </w:r>
    </w:p>
    <w:p w14:paraId="1152411B" w14:textId="77777777" w:rsidR="00126009" w:rsidRDefault="00000000">
      <w:r>
        <w:t>Подготовьте матрицу из шести колонок: аудитория, ситуация, вопрос, сообщение, подтверждение, способ проверки. Затем выберите одну приоритетную точку контакта и объясните, почему начинаете с нее. Дополнительно отметьте сторону, которую легко упустить, хотя изменение затрагивает ее интересы.</w:t>
      </w:r>
    </w:p>
    <w:p w14:paraId="1B98723E" w14:textId="77777777" w:rsidR="00126009" w:rsidRDefault="00000000">
      <w:pPr>
        <w:pStyle w:val="21"/>
      </w:pPr>
      <w:r>
        <w:t>Мини-исследование</w:t>
      </w:r>
    </w:p>
    <w:p w14:paraId="4263684D" w14:textId="77777777" w:rsidR="00126009" w:rsidRDefault="00000000">
      <w:r>
        <w:t>Проведите две-три добровольные беседы или используйте согласованный преподавателем учебный набор ответов. Спрашивайте о задаче и трудностях понимания, а не о частных обстоятельствах, не нужных для проекта. Не представляйте небольшое число разговоров как репрезентативный опрос.</w:t>
      </w:r>
    </w:p>
    <w:p w14:paraId="7AA51927" w14:textId="77777777" w:rsidR="00126009" w:rsidRDefault="00000000">
      <w:r>
        <w:t>Для одной аудитории подготовьте два абзаца сообщения. Первый объясняет предложение, второй — подтверждения и ограничения. Попросите читателя пересказать содержание своими словами. Сравните пересказ с намерением автора и запишите, какое уточнение необходимо.</w:t>
      </w:r>
    </w:p>
    <w:p w14:paraId="2AC2DC70" w14:textId="77777777" w:rsidR="00126009" w:rsidRDefault="00000000">
      <w:r>
        <w:t>Оценивание: обоснованность сегментации — 2 балла; качество источников профиля — 2; согласованность сообщений — 2; анализ точек контакта — 2; ограничения и этика — 2. Максимум — 10 баллов. Декоративное оформление персон не заменяет исследовательских оснований.</w:t>
      </w:r>
    </w:p>
    <w:p w14:paraId="108F847D" w14:textId="77777777" w:rsidR="00126009" w:rsidRDefault="00000000">
      <w:r>
        <w:t>В итоговом отчете объемом 800–1000 слов объясните, какие предположения изменились после проверки. Карта должна помочь следующей теме: диагностике имиджа. Поэтому завершите работу тремя вопросами, на которые необходимо получить данные в ходе аудита.</w:t>
      </w:r>
    </w:p>
    <w:p w14:paraId="6CDA740B" w14:textId="77777777" w:rsidR="00126009" w:rsidRDefault="00000000">
      <w:pPr>
        <w:pStyle w:val="1"/>
        <w:pageBreakBefore/>
        <w:spacing w:before="0"/>
      </w:pPr>
      <w:bookmarkStart w:id="9" w:name="Section_10"/>
      <w:bookmarkEnd w:id="9"/>
      <w:r>
        <w:lastRenderedPageBreak/>
        <w:t>Самопроверка и источники</w:t>
      </w:r>
    </w:p>
    <w:p w14:paraId="13A2B286" w14:textId="77777777" w:rsidR="00126009" w:rsidRDefault="00000000">
      <w:pPr>
        <w:pStyle w:val="21"/>
      </w:pPr>
      <w:r>
        <w:t>Вопросы</w:t>
      </w:r>
    </w:p>
    <w:p w14:paraId="63A78124" w14:textId="77777777" w:rsidR="00126009" w:rsidRDefault="00000000">
      <w:r>
        <w:t>1. Все ли заинтересованные стороны являются текущими покупателями? 2. Когда разделение аудитории на сегменты полезно? 3. Делает ли имя условной персоны ее исследовательским результатом? 4. Что должно оставаться неизменным в сообщениях для разных групп? 5. Почему не стоит выводить предпочтения человека из его национальности?</w:t>
      </w:r>
    </w:p>
    <w:p w14:paraId="2C122057" w14:textId="77777777" w:rsidR="00126009" w:rsidRDefault="00000000">
      <w:pPr>
        <w:pStyle w:val="21"/>
      </w:pPr>
      <w:r>
        <w:t>Ответы-ориентиры</w:t>
      </w:r>
    </w:p>
    <w:p w14:paraId="4E6F706A" w14:textId="77777777" w:rsidR="00126009" w:rsidRDefault="00000000">
      <w:r>
        <w:t>Заинтересованными могут быть и непокупатели, затронутые действиями объекта. Сегментация полезна, когда различие связано с задачей, содержанием или форматом. Персона должна опираться на данные либо быть обозначена как гипотеза. Между сообщениями сохраняются факты, существенные условия и ограничения. Групповая принадлежность не заменяет сведений о конкретной ситуации и человеке.</w:t>
      </w:r>
    </w:p>
    <w:p w14:paraId="24385EF0" w14:textId="77777777" w:rsidR="00126009" w:rsidRDefault="00000000">
      <w:pPr>
        <w:pStyle w:val="21"/>
      </w:pPr>
      <w:r>
        <w:t>Итог и термины</w:t>
      </w:r>
    </w:p>
    <w:p w14:paraId="219EDB28" w14:textId="77777777" w:rsidR="00126009" w:rsidRDefault="00000000">
      <w:r>
        <w:t>Аудитория — адресаты коммуникации; стейкхолдер — заинтересованная сторона; сегмент — группа с релевантными для задачи различиями; персона — условное описание представителя; точка контакта — ситуация получения информации или взаимодействия; архитектура сообщений — согласование общего ядра и пояснений.</w:t>
      </w:r>
    </w:p>
    <w:p w14:paraId="664A4952" w14:textId="77777777" w:rsidR="00126009" w:rsidRDefault="00000000">
      <w:r>
        <w:t>Карта аудиторий нужна не для угадывания чужих мыслей, а для определения вопросов, доказательств и доступных способов диалога. Ее следует обновлять после получения новых данных.</w:t>
      </w:r>
    </w:p>
    <w:p w14:paraId="4AEBCD0B" w14:textId="77777777" w:rsidR="00126009" w:rsidRDefault="00000000">
      <w:pPr>
        <w:pStyle w:val="21"/>
      </w:pPr>
      <w:r>
        <w:t>Источники и дальнейшее чтение</w:t>
      </w:r>
    </w:p>
    <w:p w14:paraId="5325FB4F" w14:textId="77777777" w:rsidR="00126009" w:rsidRPr="00F21A65" w:rsidRDefault="00000000">
      <w:pPr>
        <w:pStyle w:val="LectureReference"/>
        <w:rPr>
          <w:lang w:val="en-US"/>
        </w:rPr>
      </w:pPr>
      <w:r w:rsidRPr="00F21A65">
        <w:rPr>
          <w:lang w:val="en-US"/>
        </w:rPr>
        <w:t>[1] Freeman R. E. Strategic Management: A Stakeholder Approach. Boston: Pitman, 1984.</w:t>
      </w:r>
    </w:p>
    <w:p w14:paraId="7326D725" w14:textId="77777777" w:rsidR="00126009" w:rsidRPr="00F21A65" w:rsidRDefault="00000000">
      <w:pPr>
        <w:pStyle w:val="LectureReference"/>
        <w:rPr>
          <w:lang w:val="en-US"/>
        </w:rPr>
      </w:pPr>
      <w:r w:rsidRPr="00F21A65">
        <w:rPr>
          <w:lang w:val="en-US"/>
        </w:rPr>
        <w:t xml:space="preserve">[2] Mitchell R. K., Agle B. R., Wood D. J. Toward a Theory of Stakeholder Identification and Salience. Academy of Management Review. 1997. Vol. 22(4). P. 853–886. </w:t>
      </w:r>
      <w:hyperlink r:id="rId8" w:history="1">
        <w:r>
          <w:rPr>
            <w:color w:val="176B72"/>
            <w:u w:val="single"/>
          </w:rPr>
          <w:t>Перейти</w:t>
        </w:r>
        <w:r w:rsidRPr="00F21A65">
          <w:rPr>
            <w:color w:val="176B72"/>
            <w:u w:val="single"/>
            <w:lang w:val="en-US"/>
          </w:rPr>
          <w:t xml:space="preserve"> </w:t>
        </w:r>
        <w:r>
          <w:rPr>
            <w:color w:val="176B72"/>
            <w:u w:val="single"/>
          </w:rPr>
          <w:t>к</w:t>
        </w:r>
        <w:r w:rsidRPr="00F21A65">
          <w:rPr>
            <w:color w:val="176B72"/>
            <w:u w:val="single"/>
            <w:lang w:val="en-US"/>
          </w:rPr>
          <w:t xml:space="preserve"> </w:t>
        </w:r>
        <w:r>
          <w:rPr>
            <w:color w:val="176B72"/>
            <w:u w:val="single"/>
          </w:rPr>
          <w:t>источнику</w:t>
        </w:r>
      </w:hyperlink>
      <w:r w:rsidRPr="00F21A65">
        <w:rPr>
          <w:lang w:val="en-US"/>
        </w:rPr>
        <w:t>.</w:t>
      </w:r>
    </w:p>
    <w:p w14:paraId="3418914A" w14:textId="77777777" w:rsidR="00126009" w:rsidRDefault="00000000">
      <w:pPr>
        <w:pStyle w:val="LectureReference"/>
      </w:pPr>
      <w:r w:rsidRPr="00F21A65">
        <w:rPr>
          <w:lang w:val="en-US"/>
        </w:rPr>
        <w:t xml:space="preserve">[3] AAPOR. Best Practices for Survey Research. </w:t>
      </w:r>
      <w:r>
        <w:t xml:space="preserve">Методические рекомендации по организации и прозрачности опросов. </w:t>
      </w:r>
      <w:hyperlink r:id="rId9" w:history="1">
        <w:r>
          <w:rPr>
            <w:color w:val="176B72"/>
            <w:u w:val="single"/>
          </w:rPr>
          <w:t>Перейти к источнику</w:t>
        </w:r>
      </w:hyperlink>
      <w:r>
        <w:t>.</w:t>
      </w:r>
    </w:p>
    <w:p w14:paraId="2D8A9E9F" w14:textId="77777777" w:rsidR="00126009" w:rsidRDefault="00000000">
      <w:pPr>
        <w:pStyle w:val="LectureReference"/>
      </w:pPr>
      <w:r>
        <w:t>Электронные ресурсы проверялись при подготовке комплекта 27.09.2026. Академические публикации приведены для дальнейшего чтения; доступ к полному тексту может быть ограничен. Кейсы, шаблоны и задания разработаны для этого курса.</w:t>
      </w:r>
    </w:p>
    <w:sectPr w:rsidR="00126009" w:rsidSect="00034616">
      <w:headerReference w:type="default" r:id="rId10"/>
      <w:footerReference w:type="default" r:id="rId11"/>
      <w:pgSz w:w="11906" w:h="16838"/>
      <w:pgMar w:top="1219" w:right="1219" w:bottom="1134" w:left="1219" w:header="482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848FEB" w14:textId="77777777" w:rsidR="005747E2" w:rsidRDefault="005747E2">
      <w:pPr>
        <w:spacing w:after="0" w:line="240" w:lineRule="auto"/>
      </w:pPr>
      <w:r>
        <w:separator/>
      </w:r>
    </w:p>
  </w:endnote>
  <w:endnote w:type="continuationSeparator" w:id="0">
    <w:p w14:paraId="076A9546" w14:textId="77777777" w:rsidR="005747E2" w:rsidRDefault="005747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59D038" w14:textId="4814BF8F" w:rsidR="00126009" w:rsidRDefault="00000000">
    <w:pPr>
      <w:pStyle w:val="a7"/>
      <w:pBdr>
        <w:top w:val="single" w:sz="4" w:space="7" w:color="CDDAE0"/>
      </w:pBdr>
      <w:tabs>
        <w:tab w:val="right" w:pos="9468"/>
      </w:tabs>
      <w:spacing w:before="80"/>
    </w:pPr>
    <w:r>
      <w:tab/>
    </w:r>
    <w:r>
      <w:rPr>
        <w:sz w:val="17"/>
      </w:rPr>
      <w:fldChar w:fldCharType="begin"/>
    </w:r>
    <w:r>
      <w:rPr>
        <w:sz w:val="17"/>
      </w:rPr>
      <w:instrText xml:space="preserve"> PAGE </w:instrText>
    </w:r>
    <w:r>
      <w:rPr>
        <w:sz w:val="17"/>
      </w:rPr>
      <w:fldChar w:fldCharType="separate"/>
    </w:r>
    <w:r>
      <w:rPr>
        <w:sz w:val="17"/>
      </w:rPr>
      <w:t>1</w:t>
    </w:r>
    <w:r>
      <w:rPr>
        <w:sz w:val="17"/>
      </w:rPr>
      <w:fldChar w:fldCharType="end"/>
    </w:r>
    <w:r>
      <w:rPr>
        <w:sz w:val="17"/>
      </w:rPr>
      <w:t xml:space="preserve"> / </w:t>
    </w:r>
    <w:r>
      <w:rPr>
        <w:sz w:val="17"/>
      </w:rPr>
      <w:fldChar w:fldCharType="begin"/>
    </w:r>
    <w:r>
      <w:rPr>
        <w:sz w:val="17"/>
      </w:rPr>
      <w:instrText xml:space="preserve"> NUMPAGES </w:instrText>
    </w:r>
    <w:r>
      <w:rPr>
        <w:sz w:val="17"/>
      </w:rPr>
      <w:fldChar w:fldCharType="separate"/>
    </w:r>
    <w:r>
      <w:rPr>
        <w:sz w:val="17"/>
      </w:rPr>
      <w:t>10</w:t>
    </w:r>
    <w:r>
      <w:rPr>
        <w:sz w:val="17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BD3276" w14:textId="77777777" w:rsidR="005747E2" w:rsidRDefault="005747E2">
      <w:pPr>
        <w:spacing w:after="0" w:line="240" w:lineRule="auto"/>
      </w:pPr>
      <w:r>
        <w:separator/>
      </w:r>
    </w:p>
  </w:footnote>
  <w:footnote w:type="continuationSeparator" w:id="0">
    <w:p w14:paraId="4A807D6C" w14:textId="77777777" w:rsidR="005747E2" w:rsidRDefault="005747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74C2CA" w14:textId="4F8BFA78" w:rsidR="00126009" w:rsidRDefault="00000000">
    <w:pPr>
      <w:pStyle w:val="a5"/>
      <w:pBdr>
        <w:bottom w:val="single" w:sz="4" w:space="7" w:color="CDDAE0"/>
      </w:pBdr>
      <w:tabs>
        <w:tab w:val="right" w:pos="9468"/>
      </w:tabs>
      <w:spacing w:after="120"/>
    </w:pPr>
    <w:proofErr w:type="gramStart"/>
    <w:r>
      <w:rPr>
        <w:b/>
        <w:color w:val="176B72"/>
      </w:rPr>
      <w:t>ИМИДЖМЕЙКЕРСТВО  /</w:t>
    </w:r>
    <w:proofErr w:type="gramEnd"/>
    <w:r>
      <w:rPr>
        <w:b/>
        <w:color w:val="176B72"/>
      </w:rPr>
      <w:t xml:space="preserve">  ЛЕКЦИЯ 04</w:t>
    </w:r>
    <w:r>
      <w:rPr>
        <w:sz w:val="15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40786369">
    <w:abstractNumId w:val="8"/>
  </w:num>
  <w:num w:numId="2" w16cid:durableId="267855995">
    <w:abstractNumId w:val="6"/>
  </w:num>
  <w:num w:numId="3" w16cid:durableId="2018771613">
    <w:abstractNumId w:val="5"/>
  </w:num>
  <w:num w:numId="4" w16cid:durableId="782072579">
    <w:abstractNumId w:val="4"/>
  </w:num>
  <w:num w:numId="5" w16cid:durableId="2104299117">
    <w:abstractNumId w:val="7"/>
  </w:num>
  <w:num w:numId="6" w16cid:durableId="2070612659">
    <w:abstractNumId w:val="3"/>
  </w:num>
  <w:num w:numId="7" w16cid:durableId="1477066005">
    <w:abstractNumId w:val="2"/>
  </w:num>
  <w:num w:numId="8" w16cid:durableId="537595161">
    <w:abstractNumId w:val="1"/>
  </w:num>
  <w:num w:numId="9" w16cid:durableId="14573286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oNotHyphenateCap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26009"/>
    <w:rsid w:val="0015074B"/>
    <w:rsid w:val="0029639D"/>
    <w:rsid w:val="00326F90"/>
    <w:rsid w:val="005747E2"/>
    <w:rsid w:val="0078396A"/>
    <w:rsid w:val="00AA1D8D"/>
    <w:rsid w:val="00B47730"/>
    <w:rsid w:val="00CB0664"/>
    <w:rsid w:val="00F21A6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3DF5522"/>
  <w14:defaultImageDpi w14:val="300"/>
  <w15:docId w15:val="{5A7F0668-6E91-4B77-B585-F3FF6627E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60" w:line="278" w:lineRule="auto"/>
    </w:pPr>
    <w:rPr>
      <w:rFonts w:ascii="Times New Roman" w:eastAsia="Times New Roman" w:hAnsi="Times New Roman" w:cs="Times New Roman"/>
      <w:color w:val="202830"/>
      <w:sz w:val="26"/>
      <w:lang w:val="ru-RU" w:eastAsia="ru-RU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0" w:after="240" w:line="254" w:lineRule="auto"/>
      <w:outlineLvl w:val="0"/>
    </w:pPr>
    <w:rPr>
      <w:rFonts w:ascii="Arial" w:eastAsia="Arial" w:hAnsi="Arial" w:cs="Arial"/>
      <w:b/>
      <w:bCs/>
      <w:color w:val="19354A"/>
      <w:sz w:val="34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80" w:after="120" w:line="254" w:lineRule="auto"/>
      <w:outlineLvl w:val="1"/>
    </w:pPr>
    <w:rPr>
      <w:rFonts w:ascii="Arial" w:eastAsia="Arial" w:hAnsi="Arial" w:cs="Arial"/>
      <w:b/>
      <w:bCs/>
      <w:color w:val="19354A"/>
      <w:sz w:val="24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spacing w:after="0" w:line="240" w:lineRule="auto"/>
    </w:pPr>
    <w:rPr>
      <w:rFonts w:ascii="Arial" w:eastAsia="Arial" w:hAnsi="Arial" w:cs="Arial"/>
      <w:color w:val="53616A"/>
      <w:sz w:val="16"/>
    </w:r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spacing w:after="0" w:line="240" w:lineRule="auto"/>
    </w:pPr>
    <w:rPr>
      <w:rFonts w:ascii="Arial" w:eastAsia="Arial" w:hAnsi="Arial" w:cs="Arial"/>
      <w:color w:val="53616A"/>
      <w:sz w:val="16"/>
    </w:r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spacing w:before="40" w:after="260" w:line="250" w:lineRule="auto"/>
      <w:contextualSpacing/>
    </w:pPr>
    <w:rPr>
      <w:rFonts w:ascii="Arial" w:eastAsia="Arial" w:hAnsi="Arial" w:cs="Arial"/>
      <w:b/>
      <w:color w:val="19354A"/>
      <w:kern w:val="28"/>
      <w:sz w:val="4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keepNext/>
      <w:spacing w:after="240" w:line="259" w:lineRule="auto"/>
    </w:pPr>
    <w:rPr>
      <w:rFonts w:ascii="Arial" w:eastAsia="Arial" w:hAnsi="Arial" w:cs="Arial"/>
      <w:b/>
      <w:iCs/>
      <w:color w:val="176B72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LectureReference">
    <w:name w:val="Lecture Reference"/>
    <w:pPr>
      <w:spacing w:after="100" w:line="269" w:lineRule="auto"/>
    </w:pPr>
    <w:rPr>
      <w:rFonts w:ascii="Arial" w:eastAsia="Arial" w:hAnsi="Arial" w:cs="Arial"/>
      <w:color w:val="53616A"/>
      <w:sz w:val="18"/>
      <w:lang w:val="ru-RU" w:eastAsia="ru-RU"/>
    </w:rPr>
  </w:style>
  <w:style w:type="paragraph" w:customStyle="1" w:styleId="LectureCallout">
    <w:name w:val="Lecture Callout"/>
    <w:pPr>
      <w:spacing w:after="100" w:line="269" w:lineRule="auto"/>
    </w:pPr>
    <w:rPr>
      <w:rFonts w:ascii="Arial" w:eastAsia="Arial" w:hAnsi="Arial" w:cs="Arial"/>
      <w:color w:val="19354A"/>
      <w:lang w:val="ru-RU" w:eastAsia="ru-RU"/>
    </w:rPr>
  </w:style>
  <w:style w:type="paragraph" w:customStyle="1" w:styleId="LectureTable">
    <w:name w:val="Lecture Table"/>
    <w:pPr>
      <w:spacing w:after="100" w:line="269" w:lineRule="auto"/>
    </w:pPr>
    <w:rPr>
      <w:rFonts w:ascii="Arial" w:eastAsia="Arial" w:hAnsi="Arial" w:cs="Arial"/>
      <w:color w:val="19354A"/>
      <w:sz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2307/259247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aapor.org/standards-and-ethics/best-practic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2817</Words>
  <Characters>16061</Characters>
  <Application>Microsoft Office Word</Application>
  <DocSecurity>0</DocSecurity>
  <Lines>133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18841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Целевые аудитории имиджмейкерства</dc:title>
  <dc:subject>Имиджмейкерство. Лекция 04. Дистанционный курс для бакалавриата.</dc:subject>
  <dc:creator/>
  <cp:keywords>имиджмейкерство, лекция, бакалавриат, дистанционное обучение</cp:keywords>
  <dc:description/>
  <cp:lastModifiedBy>Mikhail Sizov</cp:lastModifiedBy>
  <cp:revision>3</cp:revision>
  <dcterms:created xsi:type="dcterms:W3CDTF">2013-12-23T23:15:00Z</dcterms:created>
  <dcterms:modified xsi:type="dcterms:W3CDTF">2026-09-27T19:49:00Z</dcterms:modified>
  <cp:category/>
</cp:coreProperties>
</file>