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34142" w14:textId="77777777" w:rsidR="00B5608C" w:rsidRDefault="00000000">
      <w:pPr>
        <w:pStyle w:val="aa"/>
        <w:spacing w:before="0"/>
      </w:pPr>
      <w:bookmarkStart w:id="0" w:name="Section_01"/>
      <w:bookmarkEnd w:id="0"/>
      <w:r>
        <w:t>Идентичность и личный имидж</w:t>
      </w:r>
    </w:p>
    <w:p w14:paraId="683B6AB3" w14:textId="77777777" w:rsidR="00B5608C" w:rsidRDefault="00000000">
      <w:pPr>
        <w:pStyle w:val="ac"/>
      </w:pPr>
      <w:r>
        <w:t>На чем строится достоверная самопрезентация</w:t>
      </w:r>
    </w:p>
    <w:p w14:paraId="4A793A41" w14:textId="77777777" w:rsidR="00B5608C" w:rsidRDefault="00000000">
      <w:r>
        <w:t>Идентичность в рамках курса — представление человека о том, кто он, какие роли признает своими и какими принципами руководствуется. Личный имидж относится к восприятию со стороны. Между ними возможны совпадения и расхождения: человек считает себя внимательным, но аудитория не видит подтверждающих действий; либо окружающие приписывают ему роль, которую он не стремится занимать.</w:t>
      </w:r>
    </w:p>
    <w:p w14:paraId="27BCB8AA" w14:textId="77777777" w:rsidR="00B5608C" w:rsidRDefault="00000000">
      <w:r>
        <w:t>Работа с идентичностью нужна не для составления идеального описания личности. Ее задача — определить устойчивые основания профессионального представления: реальный опыт, ценности, интересы, компетенции и допустимые границы публичности. Без такой опоры стратегия рискует стать набором привлекательных, но неподтвержденных характеристик.</w:t>
      </w:r>
    </w:p>
    <w:p w14:paraId="0E051E90" w14:textId="77777777" w:rsidR="00B5608C" w:rsidRDefault="00000000">
      <w:pPr>
        <w:pStyle w:val="21"/>
      </w:pPr>
      <w:r>
        <w:t>Результаты изучения темы</w:t>
      </w:r>
    </w:p>
    <w:p w14:paraId="757234C1" w14:textId="77777777" w:rsidR="00B5608C" w:rsidRDefault="00000000">
      <w:r>
        <w:t>Студент научится различать ценность, навык и желаемое впечатление; связывать заявления с примерами поведения; составлять карту профессиональной идентичности; получать обратную связь без подмены самоопределения чужими ожиданиями; формировать реалистичный план развития.</w:t>
      </w:r>
    </w:p>
    <w:p w14:paraId="395EC407" w14:textId="77777777" w:rsidR="00B5608C" w:rsidRDefault="00000000">
      <w:r>
        <w:t>Для начинающего специалиста важна возможность говорить о себе точно, не изображая завершенную карьеру. Учебный проект, волонтерская задача или исследовательская работа могут быть содержательными доказательствами, если ясно названы условия, личный вклад и ограничения.</w:t>
      </w:r>
    </w:p>
    <w:p w14:paraId="03931A63" w14:textId="77777777" w:rsidR="00B5608C"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Аутентичность в учебном проекте означает согласованность представления с признаваемыми ценностями и реальным опытом. Она не требует сообщать аудитории все личные сведения.</w:t>
      </w:r>
    </w:p>
    <w:p w14:paraId="3D67F346" w14:textId="77777777" w:rsidR="00B5608C" w:rsidRDefault="00000000">
      <w:r>
        <w:t>Материал этой недели не является психологической диагностикой. Самооценка и упражнения используются для профессиональной рефлексии. Студент вправе выполнять задания на вымышленном персонаже и не раскрывать чувствительные обстоятельства собственной жизни.</w:t>
      </w:r>
    </w:p>
    <w:p w14:paraId="57EC9DD1" w14:textId="77777777" w:rsidR="00B5608C" w:rsidRDefault="00000000">
      <w:pPr>
        <w:pStyle w:val="1"/>
        <w:pageBreakBefore/>
        <w:spacing w:before="0"/>
      </w:pPr>
      <w:bookmarkStart w:id="1" w:name="Section_02"/>
      <w:bookmarkEnd w:id="1"/>
      <w:r>
        <w:lastRenderedPageBreak/>
        <w:t>Роли и границы профессионального самоопределения</w:t>
      </w:r>
    </w:p>
    <w:p w14:paraId="2B6F4F84" w14:textId="77777777" w:rsidR="00B5608C" w:rsidRDefault="00000000">
      <w:r>
        <w:t>Один человек одновременно может быть студентом, участником команды, организатором события и начинающим консультантом. Эти роли не обязаны противоречить друг другу, но в конкретной коммуникации нужно выделить релевантную. В заявке на аналитическую стажировку опыт интервьюирования может оказаться важнее подробного описания другого, несвязанного увлечения.</w:t>
      </w:r>
    </w:p>
    <w:p w14:paraId="684A46B4" w14:textId="77777777" w:rsidR="00B5608C" w:rsidRDefault="00000000">
      <w:pPr>
        <w:pStyle w:val="21"/>
      </w:pPr>
      <w:r>
        <w:t>Роль не равна полному описанию человека</w:t>
      </w:r>
    </w:p>
    <w:p w14:paraId="048759BC" w14:textId="77777777" w:rsidR="00B5608C" w:rsidRDefault="00000000">
      <w:r>
        <w:t>Профессиональное позиционирование ограничивает сообщение задачей, а не личность — единственной характеристикой. Формулировка «начинающий специалист по исследованию клиентского опыта» помогает понять направление деятельности, но не утверждает, что все интересы и возможности автора исчерпываются этой ролью.</w:t>
      </w:r>
    </w:p>
    <w:p w14:paraId="578A3BD1" w14:textId="77777777" w:rsidR="00B5608C" w:rsidRDefault="00000000">
      <w:r>
        <w:t>Полезно различать текущую роль и направление развития. «Выполняю учебные исследования» — описание опыта. «Планирую развиваться в аналитике» — намерение. «Руковожу исследованиями международных компаний» — утверждение, требующее соответствующих подтверждений. Смешение этих уровней создает избыточные ожидания.</w:t>
      </w:r>
    </w:p>
    <w:p w14:paraId="6D259571" w14:textId="77777777" w:rsidR="00B5608C" w:rsidRDefault="00000000">
      <w:r>
        <w:t>Исследование Э. Ибарры посвящено профессиональной адаптации через пробу возможных способов представления себя и освоения роли [1]. Для учебной практики это поддерживает идею небольших профессиональных проб: провести интервью, подготовить доклад, организовать обсуждение. Но чужой стиль не следует копировать без оценки собственных целей и контекста.</w:t>
      </w:r>
    </w:p>
    <w:p w14:paraId="55E30C0E" w14:textId="77777777" w:rsidR="00B5608C" w:rsidRDefault="00000000">
      <w:r>
        <w:t>При выборе роли задайте три вопроса: какие задачи я уже могу подтвердить, кому они могут быть полезны и какие ограничения необходимо назвать? Полученное описание должно быть достаточно конкретным, чтобы аудитория могла запросить подходящий пример, и достаточно честным, чтобы не обещать несуществующую квалификацию.</w:t>
      </w:r>
    </w:p>
    <w:p w14:paraId="0252669B" w14:textId="77777777" w:rsidR="00B5608C" w:rsidRDefault="00000000">
      <w:r>
        <w:t>Неудачная профессиональная проба не доказывает постоянной непригодности к роли. Она дает материал для анализа: какие навыки отсутствовали, что зависело от условий и что можно проверить в следующем опыте.</w:t>
      </w:r>
    </w:p>
    <w:p w14:paraId="2E3702E7" w14:textId="77777777" w:rsidR="00B5608C" w:rsidRDefault="00000000">
      <w:pPr>
        <w:pStyle w:val="1"/>
        <w:pageBreakBefore/>
        <w:spacing w:before="0"/>
      </w:pPr>
      <w:bookmarkStart w:id="2" w:name="Section_03"/>
      <w:bookmarkEnd w:id="2"/>
      <w:r>
        <w:lastRenderedPageBreak/>
        <w:t>Ценности: от красивого слова к решению</w:t>
      </w:r>
    </w:p>
    <w:p w14:paraId="0F773369" w14:textId="77777777" w:rsidR="00B5608C" w:rsidRDefault="00000000">
      <w:r>
        <w:t>Ценность — значимый ориентир выбора, а не просто желательное прилагательное. Теория базовых ценностей Ш. Шварца рассматривает ценности как мотивационные ориентиры и обсуждает отношения между ними [3]. В нашем курсе не требуется присваивать человеку тип по короткому тесту. Важно научиться обнаруживать ценность в конкретном решении и его последствиях.</w:t>
      </w:r>
    </w:p>
    <w:p w14:paraId="6AFC054E" w14:textId="77777777" w:rsidR="00B5608C" w:rsidRDefault="00000000">
      <w:r>
        <w:t>Например, «прозрачность» становится содержательной, когда специалист разделяет подтвержденные данные и предположения. «Уважение» проявляется в согласовании использования интервью. «Развитие» можно показать через разбор ошибки и изменение рабочего приема. Без таких примеров список ценностей трудно отличить от стандартного рекламного текста.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B5608C" w14:paraId="5354579C" w14:textId="77777777">
        <w:trPr>
          <w:cantSplit/>
          <w:tblHeader/>
          <w:jc w:val="center"/>
        </w:trPr>
        <w:tc>
          <w:tcPr>
            <w:tcW w:w="2272" w:type="dxa"/>
            <w:shd w:val="clear" w:color="auto" w:fill="19354A"/>
          </w:tcPr>
          <w:p w14:paraId="61646A16" w14:textId="77777777" w:rsidR="00B5608C" w:rsidRDefault="00000000">
            <w:pPr>
              <w:pStyle w:val="LectureTable"/>
              <w:keepNext/>
              <w:spacing w:after="0"/>
            </w:pPr>
            <w:r>
              <w:rPr>
                <w:b/>
                <w:color w:val="FFFFFF"/>
              </w:rPr>
              <w:t>Заявленная ценность</w:t>
            </w:r>
          </w:p>
        </w:tc>
        <w:tc>
          <w:tcPr>
            <w:tcW w:w="3030" w:type="dxa"/>
            <w:shd w:val="clear" w:color="auto" w:fill="19354A"/>
          </w:tcPr>
          <w:p w14:paraId="6446A56E" w14:textId="77777777" w:rsidR="00B5608C" w:rsidRDefault="00000000">
            <w:pPr>
              <w:pStyle w:val="LectureTable"/>
              <w:keepNext/>
              <w:spacing w:after="0"/>
            </w:pPr>
            <w:r>
              <w:rPr>
                <w:b/>
                <w:color w:val="FFFFFF"/>
              </w:rPr>
              <w:t>Поведенческое подтверждение</w:t>
            </w:r>
          </w:p>
        </w:tc>
        <w:tc>
          <w:tcPr>
            <w:tcW w:w="4166" w:type="dxa"/>
            <w:shd w:val="clear" w:color="auto" w:fill="19354A"/>
          </w:tcPr>
          <w:p w14:paraId="05456C31" w14:textId="77777777" w:rsidR="00B5608C" w:rsidRDefault="00000000">
            <w:pPr>
              <w:pStyle w:val="LectureTable"/>
              <w:keepNext/>
              <w:spacing w:after="0"/>
            </w:pPr>
            <w:r>
              <w:rPr>
                <w:b/>
                <w:color w:val="FFFFFF"/>
              </w:rPr>
              <w:t>Возможное противоречие</w:t>
            </w:r>
          </w:p>
        </w:tc>
      </w:tr>
      <w:tr w:rsidR="00B5608C" w14:paraId="6A277740" w14:textId="77777777">
        <w:trPr>
          <w:cantSplit/>
          <w:jc w:val="center"/>
        </w:trPr>
        <w:tc>
          <w:tcPr>
            <w:tcW w:w="2272" w:type="dxa"/>
            <w:shd w:val="clear" w:color="auto" w:fill="F0F4F6"/>
          </w:tcPr>
          <w:p w14:paraId="65B1E445" w14:textId="77777777" w:rsidR="00B5608C" w:rsidRDefault="00000000">
            <w:pPr>
              <w:pStyle w:val="LectureTable"/>
              <w:keepNext/>
              <w:spacing w:after="0"/>
            </w:pPr>
            <w:r>
              <w:t>Точность</w:t>
            </w:r>
          </w:p>
        </w:tc>
        <w:tc>
          <w:tcPr>
            <w:tcW w:w="3030" w:type="dxa"/>
            <w:shd w:val="clear" w:color="auto" w:fill="F0F4F6"/>
          </w:tcPr>
          <w:p w14:paraId="748F1AC8" w14:textId="77777777" w:rsidR="00B5608C" w:rsidRDefault="00000000">
            <w:pPr>
              <w:pStyle w:val="LectureTable"/>
              <w:keepNext/>
              <w:spacing w:after="0"/>
            </w:pPr>
            <w:r>
              <w:t>Проверка источников и единиц измерения</w:t>
            </w:r>
          </w:p>
        </w:tc>
        <w:tc>
          <w:tcPr>
            <w:tcW w:w="4166" w:type="dxa"/>
            <w:shd w:val="clear" w:color="auto" w:fill="F0F4F6"/>
          </w:tcPr>
          <w:p w14:paraId="31036431" w14:textId="77777777" w:rsidR="00B5608C" w:rsidRDefault="00000000">
            <w:pPr>
              <w:pStyle w:val="LectureTable"/>
              <w:keepNext/>
              <w:spacing w:after="0"/>
            </w:pPr>
            <w:r>
              <w:t>Публикация непроверенной цифры ради скорости</w:t>
            </w:r>
          </w:p>
        </w:tc>
      </w:tr>
      <w:tr w:rsidR="00B5608C" w14:paraId="1F3BDEBE" w14:textId="77777777">
        <w:trPr>
          <w:cantSplit/>
          <w:jc w:val="center"/>
        </w:trPr>
        <w:tc>
          <w:tcPr>
            <w:tcW w:w="2272" w:type="dxa"/>
            <w:shd w:val="clear" w:color="auto" w:fill="FFFFFF"/>
          </w:tcPr>
          <w:p w14:paraId="0716CF16" w14:textId="77777777" w:rsidR="00B5608C" w:rsidRDefault="00000000">
            <w:pPr>
              <w:pStyle w:val="LectureTable"/>
              <w:keepNext/>
              <w:spacing w:after="0"/>
            </w:pPr>
            <w:r>
              <w:t>Уважение</w:t>
            </w:r>
          </w:p>
        </w:tc>
        <w:tc>
          <w:tcPr>
            <w:tcW w:w="3030" w:type="dxa"/>
            <w:shd w:val="clear" w:color="auto" w:fill="FFFFFF"/>
          </w:tcPr>
          <w:p w14:paraId="111323A3" w14:textId="77777777" w:rsidR="00B5608C" w:rsidRDefault="00000000">
            <w:pPr>
              <w:pStyle w:val="LectureTable"/>
              <w:keepNext/>
              <w:spacing w:after="0"/>
            </w:pPr>
            <w:r>
              <w:t>Согласование цитаты и границ публичности</w:t>
            </w:r>
          </w:p>
        </w:tc>
        <w:tc>
          <w:tcPr>
            <w:tcW w:w="4166" w:type="dxa"/>
            <w:shd w:val="clear" w:color="auto" w:fill="FFFFFF"/>
          </w:tcPr>
          <w:p w14:paraId="264AD0E0" w14:textId="77777777" w:rsidR="00B5608C" w:rsidRDefault="00000000">
            <w:pPr>
              <w:pStyle w:val="LectureTable"/>
              <w:keepNext/>
              <w:spacing w:after="0"/>
            </w:pPr>
            <w:r>
              <w:t>Разглашение частной переписки</w:t>
            </w:r>
          </w:p>
        </w:tc>
      </w:tr>
      <w:tr w:rsidR="00B5608C" w14:paraId="15FFD762" w14:textId="77777777">
        <w:trPr>
          <w:cantSplit/>
          <w:jc w:val="center"/>
        </w:trPr>
        <w:tc>
          <w:tcPr>
            <w:tcW w:w="2272" w:type="dxa"/>
            <w:shd w:val="clear" w:color="auto" w:fill="F0F4F6"/>
          </w:tcPr>
          <w:p w14:paraId="56DCEFCC" w14:textId="77777777" w:rsidR="00B5608C" w:rsidRDefault="00000000">
            <w:pPr>
              <w:pStyle w:val="LectureTable"/>
              <w:keepNext/>
              <w:spacing w:after="0"/>
            </w:pPr>
            <w:r>
              <w:t>Открытость</w:t>
            </w:r>
          </w:p>
        </w:tc>
        <w:tc>
          <w:tcPr>
            <w:tcW w:w="3030" w:type="dxa"/>
            <w:shd w:val="clear" w:color="auto" w:fill="F0F4F6"/>
          </w:tcPr>
          <w:p w14:paraId="74E8379A" w14:textId="77777777" w:rsidR="00B5608C" w:rsidRDefault="00000000">
            <w:pPr>
              <w:pStyle w:val="LectureTable"/>
              <w:keepNext/>
              <w:spacing w:after="0"/>
            </w:pPr>
            <w:r>
              <w:t>Объяснение ограничений результата</w:t>
            </w:r>
          </w:p>
        </w:tc>
        <w:tc>
          <w:tcPr>
            <w:tcW w:w="4166" w:type="dxa"/>
            <w:shd w:val="clear" w:color="auto" w:fill="F0F4F6"/>
          </w:tcPr>
          <w:p w14:paraId="0BAA0EA0" w14:textId="77777777" w:rsidR="00B5608C" w:rsidRDefault="00000000">
            <w:pPr>
              <w:pStyle w:val="LectureTable"/>
              <w:keepNext/>
              <w:spacing w:after="0"/>
            </w:pPr>
            <w:r>
              <w:t>Создание видимости полной определенности</w:t>
            </w:r>
          </w:p>
        </w:tc>
      </w:tr>
      <w:tr w:rsidR="00B5608C" w14:paraId="03F40ED8" w14:textId="77777777">
        <w:trPr>
          <w:cantSplit/>
          <w:jc w:val="center"/>
        </w:trPr>
        <w:tc>
          <w:tcPr>
            <w:tcW w:w="2272" w:type="dxa"/>
            <w:shd w:val="clear" w:color="auto" w:fill="FFFFFF"/>
          </w:tcPr>
          <w:p w14:paraId="12F69A7A" w14:textId="77777777" w:rsidR="00B5608C" w:rsidRDefault="00000000">
            <w:pPr>
              <w:pStyle w:val="LectureTable"/>
              <w:spacing w:after="0"/>
            </w:pPr>
            <w:r>
              <w:t>Ответственность</w:t>
            </w:r>
          </w:p>
        </w:tc>
        <w:tc>
          <w:tcPr>
            <w:tcW w:w="3030" w:type="dxa"/>
            <w:shd w:val="clear" w:color="auto" w:fill="FFFFFF"/>
          </w:tcPr>
          <w:p w14:paraId="199105ED" w14:textId="77777777" w:rsidR="00B5608C" w:rsidRDefault="00000000">
            <w:pPr>
              <w:pStyle w:val="LectureTable"/>
              <w:spacing w:after="0"/>
            </w:pPr>
            <w:r>
              <w:t>Предупреждение об изменении сроков</w:t>
            </w:r>
          </w:p>
        </w:tc>
        <w:tc>
          <w:tcPr>
            <w:tcW w:w="4166" w:type="dxa"/>
            <w:shd w:val="clear" w:color="auto" w:fill="FFFFFF"/>
          </w:tcPr>
          <w:p w14:paraId="6B9D1323" w14:textId="77777777" w:rsidR="00B5608C" w:rsidRDefault="00000000">
            <w:pPr>
              <w:pStyle w:val="LectureTable"/>
              <w:spacing w:after="0"/>
            </w:pPr>
            <w:r>
              <w:t>Обещание без учета доступных ресурсов</w:t>
            </w:r>
          </w:p>
        </w:tc>
      </w:tr>
    </w:tbl>
    <w:p w14:paraId="44EA21F3" w14:textId="77777777" w:rsidR="00B5608C" w:rsidRDefault="00B5608C">
      <w:pPr>
        <w:spacing w:after="0" w:line="120" w:lineRule="exact"/>
      </w:pPr>
    </w:p>
    <w:p w14:paraId="65254AEE" w14:textId="77777777" w:rsidR="00B5608C" w:rsidRDefault="00000000">
      <w:r>
        <w:t>Ценности могут требовать согласования. Стремление отвечать быстро иногда сталкивается с необходимостью проверки. Тогда полезно не обещать невозможное, а установить процедуру: быстро подтвердить получение запроса, назвать срок содержательного ответа и выполнить его.</w:t>
      </w:r>
    </w:p>
    <w:p w14:paraId="62B87CA0" w14:textId="77777777" w:rsidR="00B5608C" w:rsidRDefault="00000000">
      <w:r>
        <w:t>В карте идентичности достаточно выбрать три-четыре значимых ориентира и привести к каждому два реальных эпизода. При отсутствии примеров следует честно назвать ценность направлением развития. Это лучше, чем переписывать желаемое поведение как уже устойчивую характеристику.</w:t>
      </w:r>
    </w:p>
    <w:p w14:paraId="5A92031B" w14:textId="77777777" w:rsidR="00B5608C" w:rsidRDefault="00000000">
      <w:r>
        <w:t>Проверка ценностей не должна превращаться в принуждение к личным признаниям. Для учебной задачи достаточно профессионально релевантных решений и согласованных примеров.</w:t>
      </w:r>
    </w:p>
    <w:p w14:paraId="2E8DFBC0" w14:textId="77777777" w:rsidR="00B5608C" w:rsidRDefault="00000000">
      <w:pPr>
        <w:pStyle w:val="1"/>
        <w:pageBreakBefore/>
        <w:spacing w:before="0"/>
      </w:pPr>
      <w:bookmarkStart w:id="3" w:name="Section_04"/>
      <w:bookmarkEnd w:id="3"/>
      <w:r>
        <w:lastRenderedPageBreak/>
        <w:t>Компетенции, интересы и доказательства</w:t>
      </w:r>
    </w:p>
    <w:p w14:paraId="17FFBF88" w14:textId="77777777" w:rsidR="00B5608C" w:rsidRDefault="00000000">
      <w:r>
        <w:t>Компетенция связана с возможностью выполнять определенные задачи, интерес — с желанием ими заниматься. Наличие интереса к маркетинговым исследованиям еще не подтверждает умение провести интервью. Но отсутствие оплаченного опыта не означает отсутствия применимых учебных навыков. Поэтому описание специалиста должно различать опыт, обучение и намерение.</w:t>
      </w:r>
    </w:p>
    <w:p w14:paraId="49638286" w14:textId="77777777" w:rsidR="00B5608C" w:rsidRDefault="00000000">
      <w:r>
        <w:t>Удобная единица доказательства — небольшой кейс: задача, условия, личные действия, результат и ограничения. Если работа выполнялась командой, необходимо отделить общий результат от собственного вклада. Фраза «мы разработали проект» не сообщает, что сделал конкретный участник.</w:t>
      </w:r>
    </w:p>
    <w:p w14:paraId="0993186A" w14:textId="77777777" w:rsidR="00B5608C" w:rsidRDefault="00000000">
      <w:pPr>
        <w:pStyle w:val="21"/>
      </w:pPr>
      <w:r>
        <w:t>Как описывать учебный опыт</w:t>
      </w:r>
    </w:p>
    <w:p w14:paraId="6B1C43CA" w14:textId="77777777" w:rsidR="00B5608C" w:rsidRDefault="00000000">
      <w:r>
        <w:t>Вместо «успешно занимался аналитикой» можно написать: «В учебной группе подготовил план десяти интервью, провел четыре беседы, систематизировал ответы и выделил темы для дальнейшей проверки». Такая формулировка не требует преувеличивать масштаб и позволяет задавать содержательные вопросы.</w:t>
      </w:r>
    </w:p>
    <w:p w14:paraId="36619FCF" w14:textId="77777777" w:rsidR="00B5608C" w:rsidRDefault="00000000">
      <w:r>
        <w:t>Результат не обязательно выражается выручкой или ростом аудитории. Для учебной работы это может быть подготовленный протокол, проверенный макет, улучшенная структура отчета. Важно объяснить критерии качества и не приписывать проекту эффект, который не измерялся.</w:t>
      </w:r>
    </w:p>
    <w:p w14:paraId="5A3C92C0" w14:textId="77777777" w:rsidR="00B5608C" w:rsidRDefault="00000000">
      <w:r>
        <w:t>Для каждого утверждения полезно указать доступное подтверждение: обезличенный фрагмент отчета, описание процедуры, отзыв с согласия автора или демонстрационную задачу. Конфиденциальные материалы нельзя публиковать только ради усиления портфолио. Иногда достаточно самостоятельно созданного аналогичного примера с явной маркировкой.</w:t>
      </w:r>
    </w:p>
    <w:p w14:paraId="60D6C5AF" w14:textId="77777777" w:rsidR="00B5608C"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Хорошее доказательство не обязательно выглядит масштабно. Оно позволяет понять, какую задачу человек действительно выполнял и где заканчиваются основания для вывода о его возможностях.</w:t>
      </w:r>
    </w:p>
    <w:p w14:paraId="2A6AC708" w14:textId="77777777" w:rsidR="00B5608C" w:rsidRDefault="00000000">
      <w:r>
        <w:t>В итоговой карте отделите три колонки: «подтверждено опытом», «осваивается сейчас», «интересует в будущем». Это предотвращает случайное превращение намерения в обещание услуги.</w:t>
      </w:r>
    </w:p>
    <w:p w14:paraId="5D624C6E" w14:textId="77777777" w:rsidR="00B5608C" w:rsidRDefault="00000000">
      <w:pPr>
        <w:pStyle w:val="1"/>
        <w:pageBreakBefore/>
        <w:spacing w:before="0"/>
      </w:pPr>
      <w:bookmarkStart w:id="4" w:name="Section_05"/>
      <w:bookmarkEnd w:id="4"/>
      <w:r>
        <w:lastRenderedPageBreak/>
        <w:t>Аутентичность и адаптация: есть ли противоречие</w:t>
      </w:r>
    </w:p>
    <w:p w14:paraId="1F1AFF97" w14:textId="77777777" w:rsidR="00B5608C" w:rsidRDefault="00000000">
      <w:r>
        <w:t>Адаптация сообщения под аудиторию не обязательно означает неискренность. Один и тот же опыт можно объяснить работодателю через навыки, заказчику — через процесс взаимодействия, однокурсникам — через полученные уроки. Содержание остается достоверным, меняется отбор релевантных деталей и уровень пояснений.</w:t>
      </w:r>
    </w:p>
    <w:p w14:paraId="69CBFF59" w14:textId="77777777" w:rsidR="00B5608C" w:rsidRDefault="00000000">
      <w:r>
        <w:t>Проблема возникает, когда адаптация меняет не форму, а факты или принципиальные обязательства. Например, студент описывает командный проект как личную работу либо называет освоенную на вводном уровне программу профессиональной специализацией. Такое сообщение создает ожидание, которое не подтверждается исходным опытом.</w:t>
      </w:r>
    </w:p>
    <w:p w14:paraId="520FDBB6" w14:textId="77777777" w:rsidR="00B5608C" w:rsidRDefault="00000000">
      <w:pPr>
        <w:pStyle w:val="21"/>
      </w:pPr>
      <w:r>
        <w:t>Устойчивое ядро и вариативная форма</w:t>
      </w:r>
    </w:p>
    <w:p w14:paraId="456CC1EA" w14:textId="77777777" w:rsidR="00B5608C" w:rsidRDefault="00000000">
      <w:r>
        <w:t>Предлагаемая учебная модель выделяет ядро — ценности, реальный опыт, ограничения — и форму: длину текста, примеры, порядок аргументов, степень формальности. Ядро не должно противоречить себе между каналами. Форма может изменяться в зависимости от задачи.</w:t>
      </w:r>
    </w:p>
    <w:p w14:paraId="7857FDF4" w14:textId="77777777" w:rsidR="00B5608C" w:rsidRDefault="00000000">
      <w:r>
        <w:t>В исследовании профессионального образа Л. Робертс рассматривается работа с желаемым и воспринимаемым представлением о профессиональной компетентности и характере [2]. Для нашей практики важно не сводить эту работу к безусловному соответствию всем социальным ожиданиям. Не каждое ожидание является обоснованным или справедливым.</w:t>
      </w:r>
    </w:p>
    <w:p w14:paraId="62B67293" w14:textId="77777777" w:rsidR="00B5608C" w:rsidRDefault="00000000">
      <w:r>
        <w:t>Студент может выбрать сдержанный формат публичности, не вести личный блог и не делиться семейными историями. Это не препятствует созданию понятного профессионального представления. Достаточно показать значимые задачи, подход к работе и возможность обратиться с релевантным запросом.</w:t>
      </w:r>
    </w:p>
    <w:p w14:paraId="0C5651D7" w14:textId="77777777" w:rsidR="00B5608C" w:rsidRDefault="00000000">
      <w:r>
        <w:t>Критерий согласованности полезно проверять вопросом: смогу ли я спокойно объяснить происхождение каждого утверждения и выполнить подразумеваемое обещание? Если ответ отрицательный, нужно изменить сообщение или обозначить цель как направление развития, а не достигнутое качество.</w:t>
      </w:r>
    </w:p>
    <w:p w14:paraId="668E4FD0" w14:textId="77777777" w:rsidR="00B5608C" w:rsidRDefault="00000000">
      <w:pPr>
        <w:pStyle w:val="1"/>
        <w:pageBreakBefore/>
        <w:spacing w:before="0"/>
      </w:pPr>
      <w:bookmarkStart w:id="5" w:name="Section_06"/>
      <w:bookmarkEnd w:id="5"/>
      <w:r>
        <w:lastRenderedPageBreak/>
        <w:t>Обратная связь без отказа от самостоятельности</w:t>
      </w:r>
    </w:p>
    <w:p w14:paraId="7C98CCEE" w14:textId="77777777" w:rsidR="00B5608C" w:rsidRDefault="00000000">
      <w:r>
        <w:t>Обратная связь помогает увидеть то, что автор не заметил в собственном представлении. Однако она не является окончательным определением личности. Комментарий одного читателя относится к конкретному материалу и опыту взаимодействия. Превращать его в утверждение «все воспринимают меня именно так» методологически неправильно.</w:t>
      </w:r>
    </w:p>
    <w:p w14:paraId="0CFAB5A8" w14:textId="77777777" w:rsidR="00B5608C" w:rsidRDefault="00000000">
      <w:r>
        <w:t>Для учебного запроса полезны конкретные вопросы: какую роль вы увидели, что поняли о моих задачах, какое утверждение требует подтверждения, что осталось неясным? Они дают больше материала для улучшения, чем просьба оценить человека в целом.</w:t>
      </w:r>
    </w:p>
    <w:p w14:paraId="0917B6CA" w14:textId="77777777" w:rsidR="00B5608C" w:rsidRDefault="00000000">
      <w:pPr>
        <w:pStyle w:val="21"/>
      </w:pPr>
      <w:r>
        <w:t>Как разбирать ответ</w:t>
      </w:r>
    </w:p>
    <w:p w14:paraId="6DCC252B" w14:textId="77777777" w:rsidR="00B5608C" w:rsidRDefault="00000000">
      <w:r>
        <w:t>Сначала отделите содержание замечания от его эмоциональной формы. Затем определите, касается ли оно факта, понятности или вкусового предпочтения. Ошибку в дате нужно исправить. Непонятность роли — исследовать и уточнить. Предпочтение другого цвета — соотнести с задачей и дополнительными данными.</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651"/>
        <w:gridCol w:w="2840"/>
        <w:gridCol w:w="3977"/>
      </w:tblGrid>
      <w:tr w:rsidR="00B5608C" w14:paraId="2AEC95AD" w14:textId="77777777">
        <w:trPr>
          <w:cantSplit/>
          <w:tblHeader/>
          <w:jc w:val="center"/>
        </w:trPr>
        <w:tc>
          <w:tcPr>
            <w:tcW w:w="2651" w:type="dxa"/>
            <w:shd w:val="clear" w:color="auto" w:fill="19354A"/>
          </w:tcPr>
          <w:p w14:paraId="4BBACEE4" w14:textId="77777777" w:rsidR="00B5608C" w:rsidRDefault="00000000">
            <w:pPr>
              <w:pStyle w:val="LectureTable"/>
              <w:keepNext/>
              <w:spacing w:after="0"/>
            </w:pPr>
            <w:r>
              <w:rPr>
                <w:b/>
                <w:color w:val="FFFFFF"/>
              </w:rPr>
              <w:t>Вид обратной связи</w:t>
            </w:r>
          </w:p>
        </w:tc>
        <w:tc>
          <w:tcPr>
            <w:tcW w:w="2840" w:type="dxa"/>
            <w:shd w:val="clear" w:color="auto" w:fill="19354A"/>
          </w:tcPr>
          <w:p w14:paraId="589FECCC" w14:textId="77777777" w:rsidR="00B5608C" w:rsidRDefault="00000000">
            <w:pPr>
              <w:pStyle w:val="LectureTable"/>
              <w:keepNext/>
              <w:spacing w:after="0"/>
            </w:pPr>
            <w:r>
              <w:rPr>
                <w:b/>
                <w:color w:val="FFFFFF"/>
              </w:rPr>
              <w:t>Пример</w:t>
            </w:r>
          </w:p>
        </w:tc>
        <w:tc>
          <w:tcPr>
            <w:tcW w:w="3977" w:type="dxa"/>
            <w:shd w:val="clear" w:color="auto" w:fill="19354A"/>
          </w:tcPr>
          <w:p w14:paraId="0A4C4480" w14:textId="77777777" w:rsidR="00B5608C" w:rsidRDefault="00000000">
            <w:pPr>
              <w:pStyle w:val="LectureTable"/>
              <w:keepNext/>
              <w:spacing w:after="0"/>
            </w:pPr>
            <w:r>
              <w:rPr>
                <w:b/>
                <w:color w:val="FFFFFF"/>
              </w:rPr>
              <w:t>Возможное действие</w:t>
            </w:r>
          </w:p>
        </w:tc>
      </w:tr>
      <w:tr w:rsidR="00B5608C" w14:paraId="6D8EF852" w14:textId="77777777">
        <w:trPr>
          <w:cantSplit/>
          <w:jc w:val="center"/>
        </w:trPr>
        <w:tc>
          <w:tcPr>
            <w:tcW w:w="2651" w:type="dxa"/>
            <w:shd w:val="clear" w:color="auto" w:fill="F0F4F6"/>
          </w:tcPr>
          <w:p w14:paraId="5136EA02" w14:textId="77777777" w:rsidR="00B5608C" w:rsidRDefault="00000000">
            <w:pPr>
              <w:pStyle w:val="LectureTable"/>
              <w:keepNext/>
              <w:spacing w:after="0"/>
            </w:pPr>
            <w:r>
              <w:t>Фактическая</w:t>
            </w:r>
          </w:p>
        </w:tc>
        <w:tc>
          <w:tcPr>
            <w:tcW w:w="2840" w:type="dxa"/>
            <w:shd w:val="clear" w:color="auto" w:fill="F0F4F6"/>
          </w:tcPr>
          <w:p w14:paraId="42BC389A" w14:textId="77777777" w:rsidR="00B5608C" w:rsidRDefault="00000000">
            <w:pPr>
              <w:pStyle w:val="LectureTable"/>
              <w:keepNext/>
              <w:spacing w:after="0"/>
            </w:pPr>
            <w:r>
              <w:t>Не совпадают даты проекта</w:t>
            </w:r>
          </w:p>
        </w:tc>
        <w:tc>
          <w:tcPr>
            <w:tcW w:w="3977" w:type="dxa"/>
            <w:shd w:val="clear" w:color="auto" w:fill="F0F4F6"/>
          </w:tcPr>
          <w:p w14:paraId="49D438AC" w14:textId="77777777" w:rsidR="00B5608C" w:rsidRDefault="00000000">
            <w:pPr>
              <w:pStyle w:val="LectureTable"/>
              <w:keepNext/>
              <w:spacing w:after="0"/>
            </w:pPr>
            <w:r>
              <w:t>Проверить первичные сведения</w:t>
            </w:r>
          </w:p>
        </w:tc>
      </w:tr>
      <w:tr w:rsidR="00B5608C" w14:paraId="7063433D" w14:textId="77777777">
        <w:trPr>
          <w:cantSplit/>
          <w:jc w:val="center"/>
        </w:trPr>
        <w:tc>
          <w:tcPr>
            <w:tcW w:w="2651" w:type="dxa"/>
            <w:shd w:val="clear" w:color="auto" w:fill="FFFFFF"/>
          </w:tcPr>
          <w:p w14:paraId="20D959D4" w14:textId="77777777" w:rsidR="00B5608C" w:rsidRDefault="00000000">
            <w:pPr>
              <w:pStyle w:val="LectureTable"/>
              <w:keepNext/>
              <w:spacing w:after="0"/>
            </w:pPr>
            <w:r>
              <w:t>Содержательная</w:t>
            </w:r>
          </w:p>
        </w:tc>
        <w:tc>
          <w:tcPr>
            <w:tcW w:w="2840" w:type="dxa"/>
            <w:shd w:val="clear" w:color="auto" w:fill="FFFFFF"/>
          </w:tcPr>
          <w:p w14:paraId="4D57CD31" w14:textId="77777777" w:rsidR="00B5608C" w:rsidRDefault="00000000">
            <w:pPr>
              <w:pStyle w:val="LectureTable"/>
              <w:keepNext/>
              <w:spacing w:after="0"/>
            </w:pPr>
            <w:r>
              <w:t>Неясен личный вклад</w:t>
            </w:r>
          </w:p>
        </w:tc>
        <w:tc>
          <w:tcPr>
            <w:tcW w:w="3977" w:type="dxa"/>
            <w:shd w:val="clear" w:color="auto" w:fill="FFFFFF"/>
          </w:tcPr>
          <w:p w14:paraId="3C67ACF7" w14:textId="77777777" w:rsidR="00B5608C" w:rsidRDefault="00000000">
            <w:pPr>
              <w:pStyle w:val="LectureTable"/>
              <w:keepNext/>
              <w:spacing w:after="0"/>
            </w:pPr>
            <w:r>
              <w:t>Добавить описание действий</w:t>
            </w:r>
          </w:p>
        </w:tc>
      </w:tr>
      <w:tr w:rsidR="00B5608C" w14:paraId="4E7F78EF" w14:textId="77777777">
        <w:trPr>
          <w:cantSplit/>
          <w:jc w:val="center"/>
        </w:trPr>
        <w:tc>
          <w:tcPr>
            <w:tcW w:w="2651" w:type="dxa"/>
            <w:shd w:val="clear" w:color="auto" w:fill="F0F4F6"/>
          </w:tcPr>
          <w:p w14:paraId="2B176E40" w14:textId="77777777" w:rsidR="00B5608C" w:rsidRDefault="00000000">
            <w:pPr>
              <w:pStyle w:val="LectureTable"/>
              <w:keepNext/>
              <w:spacing w:after="0"/>
            </w:pPr>
            <w:r>
              <w:t>Интерпретационная</w:t>
            </w:r>
          </w:p>
        </w:tc>
        <w:tc>
          <w:tcPr>
            <w:tcW w:w="2840" w:type="dxa"/>
            <w:shd w:val="clear" w:color="auto" w:fill="F0F4F6"/>
          </w:tcPr>
          <w:p w14:paraId="3CED6717" w14:textId="77777777" w:rsidR="00B5608C" w:rsidRDefault="00000000">
            <w:pPr>
              <w:pStyle w:val="LectureTable"/>
              <w:keepNext/>
              <w:spacing w:after="0"/>
            </w:pPr>
            <w:r>
              <w:t>Материал выглядит ориентированным на другую роль</w:t>
            </w:r>
          </w:p>
        </w:tc>
        <w:tc>
          <w:tcPr>
            <w:tcW w:w="3977" w:type="dxa"/>
            <w:shd w:val="clear" w:color="auto" w:fill="F0F4F6"/>
          </w:tcPr>
          <w:p w14:paraId="7A98AF06" w14:textId="77777777" w:rsidR="00B5608C" w:rsidRDefault="00000000">
            <w:pPr>
              <w:pStyle w:val="LectureTable"/>
              <w:keepNext/>
              <w:spacing w:after="0"/>
            </w:pPr>
            <w:r>
              <w:t>Уточнить причины восприятия</w:t>
            </w:r>
          </w:p>
        </w:tc>
      </w:tr>
      <w:tr w:rsidR="00B5608C" w14:paraId="690419C4" w14:textId="77777777">
        <w:trPr>
          <w:cantSplit/>
          <w:jc w:val="center"/>
        </w:trPr>
        <w:tc>
          <w:tcPr>
            <w:tcW w:w="2651" w:type="dxa"/>
            <w:shd w:val="clear" w:color="auto" w:fill="FFFFFF"/>
          </w:tcPr>
          <w:p w14:paraId="0B4F3721" w14:textId="77777777" w:rsidR="00B5608C" w:rsidRDefault="00000000">
            <w:pPr>
              <w:pStyle w:val="LectureTable"/>
              <w:spacing w:after="0"/>
            </w:pPr>
            <w:r>
              <w:t>Вкусовая</w:t>
            </w:r>
          </w:p>
        </w:tc>
        <w:tc>
          <w:tcPr>
            <w:tcW w:w="2840" w:type="dxa"/>
            <w:shd w:val="clear" w:color="auto" w:fill="FFFFFF"/>
          </w:tcPr>
          <w:p w14:paraId="79029958" w14:textId="77777777" w:rsidR="00B5608C" w:rsidRDefault="00000000">
            <w:pPr>
              <w:pStyle w:val="LectureTable"/>
              <w:spacing w:after="0"/>
            </w:pPr>
            <w:r>
              <w:t>Предпочитаю другой шрифт</w:t>
            </w:r>
          </w:p>
        </w:tc>
        <w:tc>
          <w:tcPr>
            <w:tcW w:w="3977" w:type="dxa"/>
            <w:shd w:val="clear" w:color="auto" w:fill="FFFFFF"/>
          </w:tcPr>
          <w:p w14:paraId="73C1B32F" w14:textId="77777777" w:rsidR="00B5608C" w:rsidRDefault="00000000">
            <w:pPr>
              <w:pStyle w:val="LectureTable"/>
              <w:spacing w:after="0"/>
            </w:pPr>
            <w:r>
              <w:t>Проверить связь с читаемостью и задачей</w:t>
            </w:r>
          </w:p>
        </w:tc>
      </w:tr>
    </w:tbl>
    <w:p w14:paraId="5D5D729B" w14:textId="77777777" w:rsidR="00B5608C" w:rsidRDefault="00B5608C">
      <w:pPr>
        <w:spacing w:after="0" w:line="120" w:lineRule="exact"/>
      </w:pPr>
    </w:p>
    <w:p w14:paraId="65028E8E" w14:textId="77777777" w:rsidR="00B5608C" w:rsidRDefault="00000000">
      <w:r>
        <w:t>Если замечание требует раскрытия личных сведений или соответствует нерелевантному стереотипу, студент вправе не принимать его. Полезно объяснить границу: «Для оценки навыка предлагаю рассмотреть выполненную задачу, а не личные обстоятельства».</w:t>
      </w:r>
    </w:p>
    <w:p w14:paraId="2E23CD28" w14:textId="77777777" w:rsidR="00B5608C" w:rsidRDefault="00000000">
      <w:r>
        <w:t>Итогом становится решение: принять, проверить дополнительно или отклонить с объяснением. Журнал таких решений позволяет показать, что автор не просто подстроился под последнего комментатора, а осмысленно работал с разными основаниями.</w:t>
      </w:r>
    </w:p>
    <w:p w14:paraId="2E823CC4" w14:textId="77777777" w:rsidR="00B5608C" w:rsidRDefault="00000000">
      <w:pPr>
        <w:pStyle w:val="1"/>
        <w:pageBreakBefore/>
        <w:spacing w:before="0"/>
      </w:pPr>
      <w:bookmarkStart w:id="6" w:name="Section_07"/>
      <w:bookmarkEnd w:id="6"/>
      <w:r>
        <w:lastRenderedPageBreak/>
        <w:t>Карта идентичности и план профессиональных проб</w:t>
      </w:r>
    </w:p>
    <w:p w14:paraId="5561FEBF" w14:textId="77777777" w:rsidR="00B5608C" w:rsidRDefault="00000000">
      <w:r>
        <w:t>Карта идентичности — предлагаемый в курсе рабочий документ, а не стандартизированный психологический опросник. Она объединяет текущую роль, задачи, ценности, опыт, подтверждения и границы. Ее назначение — помогать готовить достоверные сообщения и выбирать реалистичные направления развития.</w:t>
      </w:r>
    </w:p>
    <w:p w14:paraId="2B76D388" w14:textId="77777777" w:rsidR="00B5608C" w:rsidRDefault="00000000">
      <w:r>
        <w:t>В центре карты разместите профессиональную задачу: например, исследование клиентского опыта. Далее укажите уже выполненные действия, доступные подтверждения, предпочитаемый способ работы и область, которую пока нельзя представлять как освоенную. Такая структура полезнее длинного списка общих качеств.</w:t>
      </w:r>
    </w:p>
    <w:p w14:paraId="089DE2B3" w14:textId="77777777" w:rsidR="00B5608C" w:rsidRDefault="00000000">
      <w:pPr>
        <w:pStyle w:val="21"/>
      </w:pPr>
      <w:r>
        <w:t>От разрыва к действию</w:t>
      </w:r>
    </w:p>
    <w:p w14:paraId="2C0E9BC9" w14:textId="77777777" w:rsidR="00B5608C" w:rsidRDefault="00000000">
      <w:r>
        <w:t>Если желаемая роль требует публичных объяснений, а таких примеров нет, запланируйте небольшую пробу: подготовить пятиминутный разбор учебной задачи, получить обратную связь по ясности и доработать материал. Цель — получить опыт и наблюдение, а не немедленно присвоить себе новый статус.</w:t>
      </w:r>
    </w:p>
    <w:p w14:paraId="477B2EAF" w14:textId="77777777" w:rsidR="00B5608C" w:rsidRDefault="00000000">
      <w:r>
        <w:t>Хорошая профессиональная проба имеет ограниченный масштаб, критерий результата и срок рефлексии. Например: «До конца месяца подготовить два описания проектов так, чтобы три участника просмотра смогли верно назвать мой вклад». Числа здесь задают учебную процедуру, а не статистическое доказательство рыночной востребованности.</w:t>
      </w:r>
    </w:p>
    <w:p w14:paraId="5BBAC00C" w14:textId="77777777" w:rsidR="00B5608C" w:rsidRDefault="00000000">
      <w:r>
        <w:t>В плане различают изменения способности и изменения представления о ней. Изучение метода интервью развивает навык. Добавление описания проведенных интервью улучшает доступность подтверждений. Иногда необходимы оба действия; иногда проблема относится только к одному уровню.</w:t>
      </w:r>
    </w:p>
    <w:p w14:paraId="26666959" w14:textId="77777777" w:rsidR="00B5608C"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Развитие идентичности не сводится к новому заголовку профиля. Новая формулировка должна опираться на новые действия или точнее объяснять уже существующий опыт.</w:t>
      </w:r>
    </w:p>
    <w:p w14:paraId="41E43EC5" w14:textId="77777777" w:rsidR="00B5608C" w:rsidRDefault="00000000">
      <w:r>
        <w:t>Карта пересматривается после значимых проектов. Удалять старые интересы не обязательно, но нужно обновлять публичные обещания, даты и границы актуального опыта.</w:t>
      </w:r>
    </w:p>
    <w:p w14:paraId="6C48D153" w14:textId="77777777" w:rsidR="00B5608C" w:rsidRDefault="00000000">
      <w:pPr>
        <w:pStyle w:val="1"/>
        <w:pageBreakBefore/>
        <w:spacing w:before="0"/>
      </w:pPr>
      <w:bookmarkStart w:id="7" w:name="Section_08"/>
      <w:bookmarkEnd w:id="7"/>
      <w:r>
        <w:lastRenderedPageBreak/>
        <w:t>Учебный кейс: «Эксперт» или начинающий специалист</w:t>
      </w:r>
    </w:p>
    <w:p w14:paraId="40933B1D" w14:textId="77777777" w:rsidR="00B5608C" w:rsidRDefault="00000000">
      <w:r>
        <w:t>Кейс вымышленный. Марина прошла вводный курс по исследованиям и участвовала в двух командных проектах. В новом профиле она хочет написать: «Эксперт, который гарантированно увеличит продажи». Основание — стремление выглядеть убедительно на фоне более опытных специалистов. При этом прямого опыта изменения продаж у нее нет.</w:t>
      </w:r>
    </w:p>
    <w:p w14:paraId="6B4F98FB" w14:textId="77777777" w:rsidR="00B5608C" w:rsidRDefault="00000000">
      <w:pPr>
        <w:pStyle w:val="21"/>
      </w:pPr>
      <w:r>
        <w:t>Анализ противоречия</w:t>
      </w:r>
    </w:p>
    <w:p w14:paraId="67ACC007" w14:textId="77777777" w:rsidR="00B5608C" w:rsidRDefault="00000000">
      <w:r>
        <w:t>Интерес Марины к исследовательской работе реален. Подтвержденный опыт — участие в учебных проектах. Экспертный статус и гарантия коммерческого результата выходят за пределы имеющихся доказательств. Поэтому проблему нельзя решить только более мягким тоном: нужно изменить содержание обещания.</w:t>
      </w:r>
    </w:p>
    <w:p w14:paraId="694FCDA4" w14:textId="77777777" w:rsidR="00B5608C" w:rsidRDefault="00000000">
      <w:r>
        <w:t>Предлагаемая редакция: «Начинающий исследователь клиентского опыта. В учебных проектах проводила интервью и систематизировала причины затруднений пользователей. Ищу стажировку для развития исследовательских навыков». Здесь названы роль, действия и направление развития без присвоения несуществующего эффекта.</w:t>
      </w:r>
    </w:p>
    <w:p w14:paraId="35910B82" w14:textId="77777777" w:rsidR="00B5608C" w:rsidRDefault="00000000">
      <w:r>
        <w:t>Далее Марина готовит два кейса. В первом описывает собственные интервью и способ анализа. Во втором честно указывает, что отвечала за редактуру итогового отчета, а не за весь проект. Для каждого отмечает ограничения: небольшая учебная выборка и отсутствие проверки влияния рекомендаций на продажи.</w:t>
      </w:r>
    </w:p>
    <w:p w14:paraId="18734888" w14:textId="77777777" w:rsidR="00B5608C" w:rsidRDefault="00000000">
      <w:pPr>
        <w:pStyle w:val="21"/>
      </w:pPr>
      <w:r>
        <w:t>План развития</w:t>
      </w:r>
    </w:p>
    <w:p w14:paraId="19B235C4" w14:textId="77777777" w:rsidR="00B5608C" w:rsidRDefault="00000000">
      <w:r>
        <w:t>Следующий шаг — выполнить учебную задачу с заранее определенными критериями качества: подготовить инструмент исследования, провести пилотирование и описать изменения вопросов. Такая работа создаст новое подтверждение навыка. Изменять профессиональный статус следует по мере накопления опыта, а не раньше него.</w:t>
      </w:r>
    </w:p>
    <w:p w14:paraId="64C5680F" w14:textId="77777777" w:rsidR="00B5608C" w:rsidRDefault="00000000">
      <w:r>
        <w:t>Альтернативный выбор — пока не публиковать профиль и использовать закрытое портфолио для стажировок. Сам по себе меньший уровень публичности не делает стратегию хуже: оценка зависит от конкретной цели и доступных ресурсов.</w:t>
      </w:r>
    </w:p>
    <w:p w14:paraId="0435E8B6" w14:textId="77777777" w:rsidR="00B5608C" w:rsidRDefault="00000000">
      <w:pPr>
        <w:pStyle w:val="1"/>
        <w:pageBreakBefore/>
        <w:spacing w:before="0"/>
      </w:pPr>
      <w:bookmarkStart w:id="8" w:name="Section_09"/>
      <w:bookmarkEnd w:id="8"/>
      <w:r>
        <w:lastRenderedPageBreak/>
        <w:t>Самостоятельная работа: карта и две версии биографии</w:t>
      </w:r>
    </w:p>
    <w:p w14:paraId="232D38C1" w14:textId="77777777" w:rsidR="00B5608C" w:rsidRDefault="00000000">
      <w:r>
        <w:t>Подготовьте карту идентичности на одну-две страницы. Включите текущую роль, три ценностных ориентира, три подтвержденных навыка, два направления развития и границы публичности. Каждому навыку сопоставьте конкретную задачу. Каждой ценности — пример решения, в котором она проявляется.</w:t>
      </w:r>
    </w:p>
    <w:p w14:paraId="18E70527" w14:textId="77777777" w:rsidR="00B5608C" w:rsidRDefault="00000000">
      <w:r>
        <w:t>Затем напишите две биографии по 100–130 слов: для заявки на стажировку и для знакомства с участниками учебного проекта. Факты и ограничения должны совпадать. Различаться могут порядок информации, примеры и пояснение полезности опыта. Не используйте искусственно завышенные должности.</w:t>
      </w:r>
    </w:p>
    <w:p w14:paraId="71BD761E" w14:textId="77777777" w:rsidR="00B5608C" w:rsidRDefault="00000000">
      <w:r>
        <w:t>Попросите одного-двух добровольных читателей назвать роль, задачи и уровень опыта, который они увидели. Сравните ответы со своим намерением. Небольшое число участников не позволяет установить устойчивый имидж, но помогает выявить непонятную формулировку или неподтвержденное ожидание.</w:t>
      </w:r>
    </w:p>
    <w:p w14:paraId="0C694BA5" w14:textId="77777777" w:rsidR="00B5608C" w:rsidRDefault="00000000">
      <w:pPr>
        <w:pStyle w:val="21"/>
      </w:pPr>
      <w:r>
        <w:t>Что представить преподавателю</w:t>
      </w:r>
    </w:p>
    <w:p w14:paraId="3E87BE66" w14:textId="77777777" w:rsidR="00B5608C" w:rsidRDefault="00000000">
      <w:r>
        <w:t>Сдайте карту, обе биографии и пояснение объемом 250–350 слов. В пояснении укажите, какие элементы ядра сохранены, почему изменена форма, какую обратную связь вы приняли и что решили не менять. Добавьте план одной профессиональной пробы на ближайший месяц.</w:t>
      </w:r>
    </w:p>
    <w:p w14:paraId="78A03780" w14:textId="77777777" w:rsidR="00B5608C" w:rsidRDefault="00000000">
      <w:r>
        <w:t>Критерии: согласованность фактов — 3 балла; связь ценностей и навыков с примерами — 3; обоснованность адаптации — 2; реалистичность развития — 1; уважение границ — 1. Максимум — 10 баллов. Открытость личной информации и эмоциональность саморассказа не оцениваются.</w:t>
      </w:r>
    </w:p>
    <w:p w14:paraId="357E31A5" w14:textId="77777777" w:rsidR="00B5608C" w:rsidRDefault="00000000">
      <w:r>
        <w:t>Взаимная рецензия должна касаться текста: «не вижу подтверждения этому утверждению», «неясно, что выполнено лично». Недопустимы суждения о привлекательности личности и требования изменить личные ценности ради соответствия вкусу рецензента.</w:t>
      </w:r>
    </w:p>
    <w:p w14:paraId="4543626E" w14:textId="77777777" w:rsidR="00B5608C" w:rsidRDefault="00000000">
      <w:pPr>
        <w:pStyle w:val="1"/>
        <w:pageBreakBefore/>
        <w:spacing w:before="0"/>
      </w:pPr>
      <w:bookmarkStart w:id="9" w:name="Section_10"/>
      <w:bookmarkEnd w:id="9"/>
      <w:r>
        <w:lastRenderedPageBreak/>
        <w:t>Самопроверка и источники</w:t>
      </w:r>
    </w:p>
    <w:p w14:paraId="4523E77C" w14:textId="77777777" w:rsidR="00B5608C" w:rsidRDefault="00000000">
      <w:pPr>
        <w:pStyle w:val="21"/>
      </w:pPr>
      <w:r>
        <w:t>Вопросы</w:t>
      </w:r>
    </w:p>
    <w:p w14:paraId="0D744B81" w14:textId="77777777" w:rsidR="00B5608C" w:rsidRDefault="00000000">
      <w:r>
        <w:t>1. Чем интерес отличается от компетенции? 2. Почему разные версии биографии могут оставаться аутентичными? 3. Как представить командный проект? 4. Обязан ли студент принять любую обратную связь? 5. Чем профессиональная проба отличается от смены названия роли?</w:t>
      </w:r>
    </w:p>
    <w:p w14:paraId="418143F8" w14:textId="77777777" w:rsidR="00B5608C" w:rsidRDefault="00000000">
      <w:pPr>
        <w:pStyle w:val="21"/>
      </w:pPr>
      <w:r>
        <w:t>Ответы-ориентиры</w:t>
      </w:r>
    </w:p>
    <w:p w14:paraId="17194C1A" w14:textId="77777777" w:rsidR="00B5608C" w:rsidRDefault="00000000">
      <w:r>
        <w:t>Интерес обозначает желание заниматься задачей, компетенция требует оснований о возможности ее выполнять. Биографии могут отличаться отбором деталей при сохранении фактов и ограничений. В командной работе указываются общий контекст и личные действия. Обратную связь оценивают по релевантности и основаниям, сохраняя границы. Профессиональная проба создает опыт и данные для рефлексии, а не только новое словесное представление.</w:t>
      </w:r>
    </w:p>
    <w:p w14:paraId="40892E1A" w14:textId="77777777" w:rsidR="00B5608C" w:rsidRDefault="00000000">
      <w:pPr>
        <w:pStyle w:val="21"/>
      </w:pPr>
      <w:r>
        <w:t>Итог и термины</w:t>
      </w:r>
    </w:p>
    <w:p w14:paraId="69BA7F2C" w14:textId="77777777" w:rsidR="00B5608C" w:rsidRDefault="00000000">
      <w:r>
        <w:t>Идентичность — профессиональное самоопределение; ценность — ориентир выбора; роль — позиция в ситуации взаимодействия; компетенция — способность решать задачи; аутентичность — согласованность представления с реальным опытом и признаваемыми основаниями; профессиональная проба — ограниченный опыт освоения возможной роли.</w:t>
      </w:r>
    </w:p>
    <w:p w14:paraId="32ADB21F" w14:textId="77777777" w:rsidR="00B5608C" w:rsidRDefault="00000000">
      <w:r>
        <w:t>В работе с личным имиджем важно показывать реальные основания и оставлять место развитию. Публичный текст может быть избирательным, но не должен превращать намерение в достижение или учебный опыт в неподтвержденную гарантию результата.</w:t>
      </w:r>
    </w:p>
    <w:p w14:paraId="4C9721C2" w14:textId="77777777" w:rsidR="00B5608C" w:rsidRPr="008B0520" w:rsidRDefault="00000000">
      <w:pPr>
        <w:pStyle w:val="21"/>
        <w:rPr>
          <w:lang w:val="en-US"/>
        </w:rPr>
      </w:pPr>
      <w:r>
        <w:t>Источники</w:t>
      </w:r>
      <w:r w:rsidRPr="008B0520">
        <w:rPr>
          <w:lang w:val="en-US"/>
        </w:rPr>
        <w:t xml:space="preserve"> </w:t>
      </w:r>
      <w:r>
        <w:t>и</w:t>
      </w:r>
      <w:r w:rsidRPr="008B0520">
        <w:rPr>
          <w:lang w:val="en-US"/>
        </w:rPr>
        <w:t xml:space="preserve"> </w:t>
      </w:r>
      <w:r>
        <w:t>дальнейшее</w:t>
      </w:r>
      <w:r w:rsidRPr="008B0520">
        <w:rPr>
          <w:lang w:val="en-US"/>
        </w:rPr>
        <w:t xml:space="preserve"> </w:t>
      </w:r>
      <w:r>
        <w:t>чтение</w:t>
      </w:r>
    </w:p>
    <w:p w14:paraId="5CF6E8CA" w14:textId="77777777" w:rsidR="00B5608C" w:rsidRPr="008B0520" w:rsidRDefault="00000000">
      <w:pPr>
        <w:pStyle w:val="LectureReference"/>
        <w:rPr>
          <w:lang w:val="en-US"/>
        </w:rPr>
      </w:pPr>
      <w:r w:rsidRPr="008B0520">
        <w:rPr>
          <w:lang w:val="en-US"/>
        </w:rPr>
        <w:t xml:space="preserve">[1] Ibarra H. Provisional Selves: Experimenting with Image and Identity in Professional Adaptation. Administrative Science Quarterly. 1999. Vol. 44(4). P. 764–791. </w:t>
      </w:r>
      <w:hyperlink r:id="rId8" w:history="1">
        <w:r>
          <w:rPr>
            <w:color w:val="176B72"/>
            <w:u w:val="single"/>
          </w:rPr>
          <w:t>Перейти</w:t>
        </w:r>
        <w:r w:rsidRPr="008B0520">
          <w:rPr>
            <w:color w:val="176B72"/>
            <w:u w:val="single"/>
            <w:lang w:val="en-US"/>
          </w:rPr>
          <w:t xml:space="preserve"> </w:t>
        </w:r>
        <w:r>
          <w:rPr>
            <w:color w:val="176B72"/>
            <w:u w:val="single"/>
          </w:rPr>
          <w:t>к</w:t>
        </w:r>
        <w:r w:rsidRPr="008B0520">
          <w:rPr>
            <w:color w:val="176B72"/>
            <w:u w:val="single"/>
            <w:lang w:val="en-US"/>
          </w:rPr>
          <w:t xml:space="preserve"> </w:t>
        </w:r>
        <w:r>
          <w:rPr>
            <w:color w:val="176B72"/>
            <w:u w:val="single"/>
          </w:rPr>
          <w:t>источнику</w:t>
        </w:r>
      </w:hyperlink>
      <w:r w:rsidRPr="008B0520">
        <w:rPr>
          <w:lang w:val="en-US"/>
        </w:rPr>
        <w:t>.</w:t>
      </w:r>
    </w:p>
    <w:p w14:paraId="074D7B02" w14:textId="77777777" w:rsidR="00B5608C" w:rsidRPr="008B0520" w:rsidRDefault="00000000">
      <w:pPr>
        <w:pStyle w:val="LectureReference"/>
        <w:rPr>
          <w:lang w:val="en-US"/>
        </w:rPr>
      </w:pPr>
      <w:r w:rsidRPr="008B0520">
        <w:rPr>
          <w:lang w:val="en-US"/>
        </w:rPr>
        <w:t xml:space="preserve">[2] Roberts L. M. Changing Faces: Professional Image Construction in Diverse Organizational Settings. Academy of Management Review. 2005. Vol. 30(4). P. 685–711. </w:t>
      </w:r>
      <w:hyperlink r:id="rId9" w:history="1">
        <w:r>
          <w:rPr>
            <w:color w:val="176B72"/>
            <w:u w:val="single"/>
          </w:rPr>
          <w:t>Перейти</w:t>
        </w:r>
        <w:r w:rsidRPr="008B0520">
          <w:rPr>
            <w:color w:val="176B72"/>
            <w:u w:val="single"/>
            <w:lang w:val="en-US"/>
          </w:rPr>
          <w:t xml:space="preserve"> </w:t>
        </w:r>
        <w:r>
          <w:rPr>
            <w:color w:val="176B72"/>
            <w:u w:val="single"/>
          </w:rPr>
          <w:t>к</w:t>
        </w:r>
        <w:r w:rsidRPr="008B0520">
          <w:rPr>
            <w:color w:val="176B72"/>
            <w:u w:val="single"/>
            <w:lang w:val="en-US"/>
          </w:rPr>
          <w:t xml:space="preserve"> </w:t>
        </w:r>
        <w:r>
          <w:rPr>
            <w:color w:val="176B72"/>
            <w:u w:val="single"/>
          </w:rPr>
          <w:t>источнику</w:t>
        </w:r>
      </w:hyperlink>
      <w:r w:rsidRPr="008B0520">
        <w:rPr>
          <w:lang w:val="en-US"/>
        </w:rPr>
        <w:t>.</w:t>
      </w:r>
    </w:p>
    <w:p w14:paraId="4274A53D" w14:textId="77777777" w:rsidR="00B5608C" w:rsidRPr="008B0520" w:rsidRDefault="00000000">
      <w:pPr>
        <w:pStyle w:val="LectureReference"/>
        <w:rPr>
          <w:lang w:val="en-US"/>
        </w:rPr>
      </w:pPr>
      <w:r w:rsidRPr="008B0520">
        <w:rPr>
          <w:lang w:val="en-US"/>
        </w:rPr>
        <w:t xml:space="preserve">[3] Schwartz S. H. An Overview of the Schwartz Theory of Basic Values. Online Readings in Psychology and Culture. 2012. Vol. 2(1). </w:t>
      </w:r>
      <w:hyperlink r:id="rId10" w:history="1">
        <w:r>
          <w:rPr>
            <w:color w:val="176B72"/>
            <w:u w:val="single"/>
          </w:rPr>
          <w:t>Перейти</w:t>
        </w:r>
        <w:r w:rsidRPr="008B0520">
          <w:rPr>
            <w:color w:val="176B72"/>
            <w:u w:val="single"/>
            <w:lang w:val="en-US"/>
          </w:rPr>
          <w:t xml:space="preserve"> </w:t>
        </w:r>
        <w:r>
          <w:rPr>
            <w:color w:val="176B72"/>
            <w:u w:val="single"/>
          </w:rPr>
          <w:t>к</w:t>
        </w:r>
        <w:r w:rsidRPr="008B0520">
          <w:rPr>
            <w:color w:val="176B72"/>
            <w:u w:val="single"/>
            <w:lang w:val="en-US"/>
          </w:rPr>
          <w:t xml:space="preserve"> </w:t>
        </w:r>
        <w:r>
          <w:rPr>
            <w:color w:val="176B72"/>
            <w:u w:val="single"/>
          </w:rPr>
          <w:t>источнику</w:t>
        </w:r>
      </w:hyperlink>
      <w:r w:rsidRPr="008B0520">
        <w:rPr>
          <w:lang w:val="en-US"/>
        </w:rPr>
        <w:t>.</w:t>
      </w:r>
    </w:p>
    <w:p w14:paraId="0FF3E0C4" w14:textId="77777777" w:rsidR="00B5608C"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B5608C" w:rsidSect="00034616">
      <w:headerReference w:type="default" r:id="rId11"/>
      <w:footerReference w:type="default" r:id="rId12"/>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5CEA" w14:textId="77777777" w:rsidR="002F098F" w:rsidRDefault="002F098F">
      <w:pPr>
        <w:spacing w:after="0" w:line="240" w:lineRule="auto"/>
      </w:pPr>
      <w:r>
        <w:separator/>
      </w:r>
    </w:p>
  </w:endnote>
  <w:endnote w:type="continuationSeparator" w:id="0">
    <w:p w14:paraId="73DE1708" w14:textId="77777777" w:rsidR="002F098F" w:rsidRDefault="002F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88BC" w14:textId="214C1EDE" w:rsidR="00B5608C"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9785" w14:textId="77777777" w:rsidR="002F098F" w:rsidRDefault="002F098F">
      <w:pPr>
        <w:spacing w:after="0" w:line="240" w:lineRule="auto"/>
      </w:pPr>
      <w:r>
        <w:separator/>
      </w:r>
    </w:p>
  </w:footnote>
  <w:footnote w:type="continuationSeparator" w:id="0">
    <w:p w14:paraId="0CCCA900" w14:textId="77777777" w:rsidR="002F098F" w:rsidRDefault="002F0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7132F" w14:textId="1D5D59D6" w:rsidR="00B5608C"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03</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47738771">
    <w:abstractNumId w:val="8"/>
  </w:num>
  <w:num w:numId="2" w16cid:durableId="155732095">
    <w:abstractNumId w:val="6"/>
  </w:num>
  <w:num w:numId="3" w16cid:durableId="319577114">
    <w:abstractNumId w:val="5"/>
  </w:num>
  <w:num w:numId="4" w16cid:durableId="108135665">
    <w:abstractNumId w:val="4"/>
  </w:num>
  <w:num w:numId="5" w16cid:durableId="816653667">
    <w:abstractNumId w:val="7"/>
  </w:num>
  <w:num w:numId="6" w16cid:durableId="283925201">
    <w:abstractNumId w:val="3"/>
  </w:num>
  <w:num w:numId="7" w16cid:durableId="2123914567">
    <w:abstractNumId w:val="2"/>
  </w:num>
  <w:num w:numId="8" w16cid:durableId="309873242">
    <w:abstractNumId w:val="1"/>
  </w:num>
  <w:num w:numId="9" w16cid:durableId="121472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2F098F"/>
    <w:rsid w:val="00326F90"/>
    <w:rsid w:val="008B0520"/>
    <w:rsid w:val="00AA1D8D"/>
    <w:rsid w:val="00B47730"/>
    <w:rsid w:val="00B5608C"/>
    <w:rsid w:val="00CB0664"/>
    <w:rsid w:val="00E835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5F0A8"/>
  <w14:defaultImageDpi w14:val="300"/>
  <w15:docId w15:val="{CFB8633A-B909-40D6-BB28-B2574F67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266705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9707/2307-0919.1116" TargetMode="External"/><Relationship Id="rId4" Type="http://schemas.openxmlformats.org/officeDocument/2006/relationships/settings" Target="settings.xml"/><Relationship Id="rId9" Type="http://schemas.openxmlformats.org/officeDocument/2006/relationships/hyperlink" Target="https://doi.org/10.5465/amr.2005.1837887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2803</Words>
  <Characters>15981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Идентичность и личный имидж</dc:title>
  <dc:subject>Имиджмейкерство. Лекция 03.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2026-09-27T19:49:00Z</dcterms:modified>
  <cp:category/>
</cp:coreProperties>
</file>