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E61B5" w14:textId="77777777" w:rsidR="00B262FF" w:rsidRDefault="00000000">
      <w:pPr>
        <w:pStyle w:val="aa"/>
        <w:spacing w:before="0"/>
      </w:pPr>
      <w:bookmarkStart w:id="0" w:name="Section_01"/>
      <w:bookmarkEnd w:id="0"/>
      <w:r>
        <w:t>Психология формирования имиджа</w:t>
      </w:r>
    </w:p>
    <w:p w14:paraId="6F9748A6" w14:textId="77777777" w:rsidR="00B262FF" w:rsidRDefault="00000000">
      <w:pPr>
        <w:pStyle w:val="ac"/>
      </w:pPr>
      <w:r>
        <w:t>Как человек превращает признаки во впечатление</w:t>
      </w:r>
    </w:p>
    <w:p w14:paraId="19CAF7BA" w14:textId="77777777" w:rsidR="00B262FF" w:rsidRDefault="00000000">
      <w:r>
        <w:t>Социальное восприятие — процесс, в котором наблюдатель замечает признаки другого человека, связывает их с уже известными категориями и строит предположения. Для имиджмейкера важно различать наблюдаемое поведение и приписываемые качества. «Докладчик сделал паузу» — наблюдение; «докладчик не уверен в себе» — интерпретация, допускающая альтернативные объяснения.</w:t>
      </w:r>
    </w:p>
    <w:p w14:paraId="1A8E51F2" w14:textId="77777777" w:rsidR="00B262FF" w:rsidRDefault="00000000">
      <w:r>
        <w:t>Впечатление удобно представить как предварительную модель: что это за человек, чего от него ожидать и как с ним взаимодействовать. Модель может уточняться, но участники общения не всегда располагают одинаковой информацией. Поэтому работа с имиджем требует внимания к тому, какие именно сведения доступны аудитории, а не только к намерениям автора сообщения.</w:t>
      </w:r>
    </w:p>
    <w:p w14:paraId="60EA6D4E" w14:textId="77777777" w:rsidR="00B262FF" w:rsidRDefault="00000000">
      <w:pPr>
        <w:pStyle w:val="21"/>
      </w:pPr>
      <w:r>
        <w:t>Результаты изучения темы</w:t>
      </w:r>
    </w:p>
    <w:p w14:paraId="1C70329D" w14:textId="77777777" w:rsidR="00B262FF" w:rsidRDefault="00000000">
      <w:r>
        <w:t>Студент научится разделять признаки, интерпретации и решения; объяснять эффект ореола и роль ожиданий; формулировать альтернативные объяснения поведения; использовать психологические модели как основания для исследования, а не как инструменты чтения мыслей.</w:t>
      </w:r>
    </w:p>
    <w:p w14:paraId="17526C62" w14:textId="77777777" w:rsidR="00B262FF" w:rsidRDefault="00000000">
      <w:r>
        <w:t>На протяжении лекции рассматриваются учебные ситуации: собеседование, видеовстреча и знакомство с профилем. Они не предназначены для диагностики личности. В частности, по манере смотреть в камеру нельзя установить честность, интеллект или профессиональную пригодность человека.</w:t>
      </w:r>
    </w:p>
    <w:p w14:paraId="501499AF" w14:textId="77777777" w:rsidR="00B262FF"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Психологическая грамотность начинается не с уверенного объяснения чужого поведения, а с понимания того, какие выводы доступные данные пока не позволяют сделать.</w:t>
      </w:r>
    </w:p>
    <w:p w14:paraId="41589D40" w14:textId="77777777" w:rsidR="00B262FF" w:rsidRDefault="00000000">
      <w:r>
        <w:t>Практический результат недели — протокол анализа впечатления. В нем студент фиксирует, что увидел, как это истолковал, какие альтернативы возможны и чем можно проверить первоначальное объяснение.</w:t>
      </w:r>
    </w:p>
    <w:p w14:paraId="7F956F72" w14:textId="77777777" w:rsidR="00B262FF" w:rsidRDefault="00000000">
      <w:pPr>
        <w:pStyle w:val="1"/>
        <w:pageBreakBefore/>
        <w:spacing w:before="0"/>
      </w:pPr>
      <w:bookmarkStart w:id="1" w:name="Section_02"/>
      <w:bookmarkEnd w:id="1"/>
      <w:r>
        <w:lastRenderedPageBreak/>
        <w:t>Три уровня анализа: признак, оценка, действие</w:t>
      </w:r>
    </w:p>
    <w:p w14:paraId="22E16865" w14:textId="77777777" w:rsidR="00B262FF" w:rsidRDefault="00000000">
      <w:r>
        <w:t>На первом уровне фиксируются доступные признаки: содержание ответа, наличие примера, длительность задержки, структура текста. На втором возникает оценка: понятность, уместность, компетентность или доброжелательность. На третьем принимается решение: задать уточняющий вопрос, продолжить обсуждение или запросить дополнительный материал. Эти уровни нельзя объединять в одно недифференцированное впечатление.</w:t>
      </w:r>
    </w:p>
    <w:p w14:paraId="3C6EA775" w14:textId="77777777" w:rsidR="00B262FF" w:rsidRDefault="00000000">
      <w:r>
        <w:t>Например, читатель не нашел в портфолио описание роли автора. Он может оценить материал как недостаточно информативный. Но вывод «у автора нет опыта» значительно сильнее исходного наблюдения. Чтобы его обосновать, необходимо проверить, не представлены ли подтверждения в другом месте и какие задачи автор действительно выполнял.</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B262FF" w14:paraId="1111EE6F" w14:textId="77777777">
        <w:trPr>
          <w:cantSplit/>
          <w:tblHeader/>
          <w:jc w:val="center"/>
        </w:trPr>
        <w:tc>
          <w:tcPr>
            <w:tcW w:w="2272" w:type="dxa"/>
            <w:shd w:val="clear" w:color="auto" w:fill="19354A"/>
          </w:tcPr>
          <w:p w14:paraId="7C1B1941" w14:textId="77777777" w:rsidR="00B262FF" w:rsidRDefault="00000000">
            <w:pPr>
              <w:pStyle w:val="LectureTable"/>
              <w:keepNext/>
              <w:spacing w:after="0"/>
            </w:pPr>
            <w:r>
              <w:rPr>
                <w:b/>
                <w:color w:val="FFFFFF"/>
              </w:rPr>
              <w:t>Уровень</w:t>
            </w:r>
          </w:p>
        </w:tc>
        <w:tc>
          <w:tcPr>
            <w:tcW w:w="3030" w:type="dxa"/>
            <w:shd w:val="clear" w:color="auto" w:fill="19354A"/>
          </w:tcPr>
          <w:p w14:paraId="36A4C614" w14:textId="77777777" w:rsidR="00B262FF" w:rsidRDefault="00000000">
            <w:pPr>
              <w:pStyle w:val="LectureTable"/>
              <w:keepNext/>
              <w:spacing w:after="0"/>
            </w:pPr>
            <w:r>
              <w:rPr>
                <w:b/>
                <w:color w:val="FFFFFF"/>
              </w:rPr>
              <w:t>Учебный пример</w:t>
            </w:r>
          </w:p>
        </w:tc>
        <w:tc>
          <w:tcPr>
            <w:tcW w:w="4166" w:type="dxa"/>
            <w:shd w:val="clear" w:color="auto" w:fill="19354A"/>
          </w:tcPr>
          <w:p w14:paraId="6A4FC3A8" w14:textId="77777777" w:rsidR="00B262FF" w:rsidRDefault="00000000">
            <w:pPr>
              <w:pStyle w:val="LectureTable"/>
              <w:keepNext/>
              <w:spacing w:after="0"/>
            </w:pPr>
            <w:r>
              <w:rPr>
                <w:b/>
                <w:color w:val="FFFFFF"/>
              </w:rPr>
              <w:t>Что необходимо уточнить</w:t>
            </w:r>
          </w:p>
        </w:tc>
      </w:tr>
      <w:tr w:rsidR="00B262FF" w14:paraId="0C6ED70D" w14:textId="77777777">
        <w:trPr>
          <w:cantSplit/>
          <w:jc w:val="center"/>
        </w:trPr>
        <w:tc>
          <w:tcPr>
            <w:tcW w:w="2272" w:type="dxa"/>
            <w:shd w:val="clear" w:color="auto" w:fill="F0F4F6"/>
          </w:tcPr>
          <w:p w14:paraId="77F4C919" w14:textId="77777777" w:rsidR="00B262FF" w:rsidRDefault="00000000">
            <w:pPr>
              <w:pStyle w:val="LectureTable"/>
              <w:keepNext/>
              <w:spacing w:after="0"/>
            </w:pPr>
            <w:r>
              <w:t>Признак</w:t>
            </w:r>
          </w:p>
        </w:tc>
        <w:tc>
          <w:tcPr>
            <w:tcW w:w="3030" w:type="dxa"/>
            <w:shd w:val="clear" w:color="auto" w:fill="F0F4F6"/>
          </w:tcPr>
          <w:p w14:paraId="04D3CDCE" w14:textId="77777777" w:rsidR="00B262FF" w:rsidRDefault="00000000">
            <w:pPr>
              <w:pStyle w:val="LectureTable"/>
              <w:keepNext/>
              <w:spacing w:after="0"/>
            </w:pPr>
            <w:r>
              <w:t>В ответе нет конкретного примера</w:t>
            </w:r>
          </w:p>
        </w:tc>
        <w:tc>
          <w:tcPr>
            <w:tcW w:w="4166" w:type="dxa"/>
            <w:shd w:val="clear" w:color="auto" w:fill="F0F4F6"/>
          </w:tcPr>
          <w:p w14:paraId="4C8B05EB" w14:textId="77777777" w:rsidR="00B262FF" w:rsidRDefault="00000000">
            <w:pPr>
              <w:pStyle w:val="LectureTable"/>
              <w:keepNext/>
              <w:spacing w:after="0"/>
            </w:pPr>
            <w:r>
              <w:t>Был ли пример запрошен?</w:t>
            </w:r>
          </w:p>
        </w:tc>
      </w:tr>
      <w:tr w:rsidR="00B262FF" w14:paraId="7A015CCD" w14:textId="77777777">
        <w:trPr>
          <w:cantSplit/>
          <w:jc w:val="center"/>
        </w:trPr>
        <w:tc>
          <w:tcPr>
            <w:tcW w:w="2272" w:type="dxa"/>
            <w:shd w:val="clear" w:color="auto" w:fill="FFFFFF"/>
          </w:tcPr>
          <w:p w14:paraId="133CB690" w14:textId="77777777" w:rsidR="00B262FF" w:rsidRDefault="00000000">
            <w:pPr>
              <w:pStyle w:val="LectureTable"/>
              <w:keepNext/>
              <w:spacing w:after="0"/>
            </w:pPr>
            <w:r>
              <w:t>Интерпретация</w:t>
            </w:r>
          </w:p>
        </w:tc>
        <w:tc>
          <w:tcPr>
            <w:tcW w:w="3030" w:type="dxa"/>
            <w:shd w:val="clear" w:color="auto" w:fill="FFFFFF"/>
          </w:tcPr>
          <w:p w14:paraId="1B346591" w14:textId="77777777" w:rsidR="00B262FF" w:rsidRDefault="00000000">
            <w:pPr>
              <w:pStyle w:val="LectureTable"/>
              <w:keepNext/>
              <w:spacing w:after="0"/>
            </w:pPr>
            <w:r>
              <w:t>Ответ выглядит общим</w:t>
            </w:r>
          </w:p>
        </w:tc>
        <w:tc>
          <w:tcPr>
            <w:tcW w:w="4166" w:type="dxa"/>
            <w:shd w:val="clear" w:color="auto" w:fill="FFFFFF"/>
          </w:tcPr>
          <w:p w14:paraId="44292871" w14:textId="77777777" w:rsidR="00B262FF" w:rsidRDefault="00000000">
            <w:pPr>
              <w:pStyle w:val="LectureTable"/>
              <w:keepNext/>
              <w:spacing w:after="0"/>
            </w:pPr>
            <w:r>
              <w:t>Какого уточнения не хватает?</w:t>
            </w:r>
          </w:p>
        </w:tc>
      </w:tr>
      <w:tr w:rsidR="00B262FF" w14:paraId="3D9F4266" w14:textId="77777777">
        <w:trPr>
          <w:cantSplit/>
          <w:jc w:val="center"/>
        </w:trPr>
        <w:tc>
          <w:tcPr>
            <w:tcW w:w="2272" w:type="dxa"/>
            <w:shd w:val="clear" w:color="auto" w:fill="F0F4F6"/>
          </w:tcPr>
          <w:p w14:paraId="215217F0" w14:textId="77777777" w:rsidR="00B262FF" w:rsidRDefault="00000000">
            <w:pPr>
              <w:pStyle w:val="LectureTable"/>
              <w:keepNext/>
              <w:spacing w:after="0"/>
            </w:pPr>
            <w:r>
              <w:t>Приписывание качества</w:t>
            </w:r>
          </w:p>
        </w:tc>
        <w:tc>
          <w:tcPr>
            <w:tcW w:w="3030" w:type="dxa"/>
            <w:shd w:val="clear" w:color="auto" w:fill="F0F4F6"/>
          </w:tcPr>
          <w:p w14:paraId="656D2894" w14:textId="77777777" w:rsidR="00B262FF" w:rsidRDefault="00000000">
            <w:pPr>
              <w:pStyle w:val="LectureTable"/>
              <w:keepNext/>
              <w:spacing w:after="0"/>
            </w:pPr>
            <w:r>
              <w:t>Собеседник предположительно мало знает</w:t>
            </w:r>
          </w:p>
        </w:tc>
        <w:tc>
          <w:tcPr>
            <w:tcW w:w="4166" w:type="dxa"/>
            <w:shd w:val="clear" w:color="auto" w:fill="F0F4F6"/>
          </w:tcPr>
          <w:p w14:paraId="27BAA02A" w14:textId="77777777" w:rsidR="00B262FF" w:rsidRDefault="00000000">
            <w:pPr>
              <w:pStyle w:val="LectureTable"/>
              <w:keepNext/>
              <w:spacing w:after="0"/>
            </w:pPr>
            <w:r>
              <w:t>Есть ли независимая проверка знаний?</w:t>
            </w:r>
          </w:p>
        </w:tc>
      </w:tr>
      <w:tr w:rsidR="00B262FF" w14:paraId="1D2A7DD4" w14:textId="77777777">
        <w:trPr>
          <w:cantSplit/>
          <w:jc w:val="center"/>
        </w:trPr>
        <w:tc>
          <w:tcPr>
            <w:tcW w:w="2272" w:type="dxa"/>
            <w:shd w:val="clear" w:color="auto" w:fill="FFFFFF"/>
          </w:tcPr>
          <w:p w14:paraId="21C32669" w14:textId="77777777" w:rsidR="00B262FF" w:rsidRDefault="00000000">
            <w:pPr>
              <w:pStyle w:val="LectureTable"/>
              <w:spacing w:after="0"/>
            </w:pPr>
            <w:r>
              <w:t>Решение</w:t>
            </w:r>
          </w:p>
        </w:tc>
        <w:tc>
          <w:tcPr>
            <w:tcW w:w="3030" w:type="dxa"/>
            <w:shd w:val="clear" w:color="auto" w:fill="FFFFFF"/>
          </w:tcPr>
          <w:p w14:paraId="56A55E70" w14:textId="77777777" w:rsidR="00B262FF" w:rsidRDefault="00000000">
            <w:pPr>
              <w:pStyle w:val="LectureTable"/>
              <w:spacing w:after="0"/>
            </w:pPr>
            <w:r>
              <w:t>Запросить описание выполненной задачи</w:t>
            </w:r>
          </w:p>
        </w:tc>
        <w:tc>
          <w:tcPr>
            <w:tcW w:w="4166" w:type="dxa"/>
            <w:shd w:val="clear" w:color="auto" w:fill="FFFFFF"/>
          </w:tcPr>
          <w:p w14:paraId="2124D5CB" w14:textId="77777777" w:rsidR="00B262FF" w:rsidRDefault="00000000">
            <w:pPr>
              <w:pStyle w:val="LectureTable"/>
              <w:spacing w:after="0"/>
            </w:pPr>
            <w:r>
              <w:t>Позволит ли запрос проверить гипотезу?</w:t>
            </w:r>
          </w:p>
        </w:tc>
      </w:tr>
    </w:tbl>
    <w:p w14:paraId="0229E085" w14:textId="77777777" w:rsidR="00B262FF" w:rsidRDefault="00B262FF">
      <w:pPr>
        <w:spacing w:after="0" w:line="120" w:lineRule="exact"/>
      </w:pPr>
    </w:p>
    <w:p w14:paraId="1B971221" w14:textId="77777777" w:rsidR="00B262FF" w:rsidRDefault="00000000">
      <w:r>
        <w:t>Такая последовательность полезна и для обратной связи. Вместо «вы выглядите непрофессионально» можно сказать: «В описании проекта не указаны ваша роль и критерии результата; поэтому трудно оценить применимость опыта». Вторая формулировка указывает на исправимый элемент материала и не превращает частное наблюдение в оценку личности.</w:t>
      </w:r>
    </w:p>
    <w:p w14:paraId="0D9F3E3B" w14:textId="77777777" w:rsidR="00B262FF" w:rsidRDefault="00000000">
      <w:r>
        <w:t>Дополнительно отделяют эмоциональную реакцию от доказательства. Читателю может нравиться оформление, но это не отменяет необходимости проверить содержание. И наоборот, непривычная стилистика не доказывает отсутствия компетенции. В учебном отчете допускаются личные реакции, если они явно названы реакциями, а не объективными характеристиками объекта.</w:t>
      </w:r>
    </w:p>
    <w:p w14:paraId="3123176E" w14:textId="77777777" w:rsidR="00B262FF" w:rsidRDefault="00000000">
      <w:pPr>
        <w:pStyle w:val="1"/>
        <w:pageBreakBefore/>
        <w:spacing w:before="0"/>
      </w:pPr>
      <w:bookmarkStart w:id="2" w:name="Section_03"/>
      <w:bookmarkEnd w:id="2"/>
      <w:r>
        <w:lastRenderedPageBreak/>
        <w:t>Первое впечатление: скорость не равна точности</w:t>
      </w:r>
    </w:p>
    <w:p w14:paraId="2A46A111" w14:textId="77777777" w:rsidR="00B262FF" w:rsidRDefault="00000000">
      <w:r>
        <w:t>Исследование Дж. Уиллис и А. Тодорова показывает возможность формирования некоторых оценочных суждений после краткого предъявления лица [4]. Из этого не следует, что такие суждения достоверно раскрывают характер или что существует универсальная длительность, за которую можно гарантированно сформировать нужный профессиональный образ. Скорость реакции и точность вывода — разные вопросы.</w:t>
      </w:r>
    </w:p>
    <w:p w14:paraId="729DD54D" w14:textId="77777777" w:rsidR="00B262FF" w:rsidRDefault="00000000">
      <w:r>
        <w:t>Для практики полезнее спросить, какие сведения человек получает первыми. Это может быть название профиля, тема письма, вступление к выступлению или объяснение услуги. Первичный материал задает контекст дальнейшего знакомства, но студент не должен считать последующее уточнение бесполезным или невозможным.</w:t>
      </w:r>
    </w:p>
    <w:p w14:paraId="2C0CD9CB" w14:textId="77777777" w:rsidR="00B262FF" w:rsidRDefault="00000000">
      <w:pPr>
        <w:pStyle w:val="21"/>
      </w:pPr>
      <w:r>
        <w:t>Проектирование первого контакта</w:t>
      </w:r>
    </w:p>
    <w:p w14:paraId="040C0D1A" w14:textId="77777777" w:rsidR="00B262FF" w:rsidRDefault="00000000">
      <w:r>
        <w:t>Предлагаемый учебный прием состоит из трех элементов: понятная роль, релевантная задача и доступное подтверждение. Например: «Начинающий аналитик клиентского опыта; исследую причины отказа от покупки; в портфолио — учебный проект с интервью и картой проблем». Это не психологическая формула успеха, а способ уменьшить неопределенность текста.</w:t>
      </w:r>
    </w:p>
    <w:p w14:paraId="5D5F5571" w14:textId="77777777" w:rsidR="00B262FF" w:rsidRDefault="00000000">
      <w:r>
        <w:t>Избыточное начало тоже может затруднять понимание. Перечень из десяти ролей заставляет читателя самостоятельно искать связь между ними. Поэтому сначала выбирают сведения, необходимые для текущей ситуации, а дополнительную информацию размещают ниже или дают по запросу.</w:t>
      </w:r>
    </w:p>
    <w:p w14:paraId="2D5DB654" w14:textId="77777777" w:rsidR="00B262FF" w:rsidRDefault="00000000">
      <w:r>
        <w:t>Проверка первого контакта не должна ограничиваться вопросом «понравилось ли?». Полезно спросить, какую роль увидел участник, что запомнил, что осталось непонятным и на чем основано его заключение. Такой тест исследует содержание восприятия, а не только общую симпатию.</w:t>
      </w:r>
    </w:p>
    <w:p w14:paraId="7F288C07" w14:textId="77777777" w:rsidR="00B262FF"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Первое впечатление — повод проверить, какие ожидания создает материал. Оно не является приговором человеку и не заменяет оценку его реальных действий.</w:t>
      </w:r>
    </w:p>
    <w:p w14:paraId="5190EEBD" w14:textId="77777777" w:rsidR="00B262FF" w:rsidRDefault="00000000">
      <w:pPr>
        <w:pStyle w:val="1"/>
        <w:pageBreakBefore/>
        <w:spacing w:before="0"/>
      </w:pPr>
      <w:bookmarkStart w:id="3" w:name="Section_04"/>
      <w:bookmarkEnd w:id="3"/>
      <w:r>
        <w:lastRenderedPageBreak/>
        <w:t>Эффект ореола, стереотипы и подтверждение ожиданий</w:t>
      </w:r>
    </w:p>
    <w:p w14:paraId="4023AECA" w14:textId="77777777" w:rsidR="00B262FF" w:rsidRDefault="00000000">
      <w:r>
        <w:t>Эффект ореола связан с переносом общего впечатления на оценки отдельных характеристик. В исследовании Р. Нисбетта и Т. Уилсона анализировалось, как общая оценка человека может менять суждения о его отдельных признаках [3]. В учебной работе это основание раздельно оценивать содержание, оформление и доказательства, а не выводить одно из другого.</w:t>
      </w:r>
    </w:p>
    <w:p w14:paraId="33F544F7" w14:textId="77777777" w:rsidR="00B262FF" w:rsidRDefault="00000000">
      <w:r>
        <w:t>Стереотип представляет собой обобщенное ожидание относительно категории людей. Проблема возникает, когда предполагаемая принадлежность к категории заменяет сведения о конкретном человеке. В профессиональном анализе нельзя считать возраст, акцент, одежду или происхождение достаточным основанием для вывода о способностях или надежности.</w:t>
      </w:r>
    </w:p>
    <w:p w14:paraId="63637971" w14:textId="77777777" w:rsidR="00B262FF" w:rsidRDefault="00000000">
      <w:pPr>
        <w:pStyle w:val="21"/>
      </w:pPr>
      <w:r>
        <w:t>Как избежать подмены</w:t>
      </w:r>
    </w:p>
    <w:p w14:paraId="7A36C95A" w14:textId="77777777" w:rsidR="00B262FF" w:rsidRDefault="00000000">
      <w:r>
        <w:t>До просмотра материала задайте критерии. Например, при оценке портфолио отдельно проверяются постановка задачи, личный вклад, доказательства и ограничения. Только после этого обсуждается визуальная ясность. Такая организация не гарантирует полного исчезновения предубеждений, но делает основания решения доступными для проверки.</w:t>
      </w:r>
    </w:p>
    <w:p w14:paraId="22D771B7" w14:textId="77777777" w:rsidR="00B262FF" w:rsidRDefault="00000000">
      <w:r>
        <w:t>Еще одна опасность — поиск только подтверждающих примеров. Если студент заранее решил, что профиль «создает образ эксперта», он может замечать профессиональные слова и игнорировать неподтвержденные обещания. Полезно специально спросить: какой фрагмент противоречит моей версии? Какие данные заставили бы ее изменить?</w:t>
      </w:r>
    </w:p>
    <w:p w14:paraId="3E32423C" w14:textId="77777777" w:rsidR="00B262FF" w:rsidRDefault="00000000">
      <w:r>
        <w:t>Одинаковое применение критериев важнее требования одинаково оценивать всех. Разные ответы могут получить разные оценки, но различие должно быть связано с релевантными действиями, а не с личной симпатией. В отчете полезно указывать конкретный фрагмент, на котором основан каждый вывод.</w:t>
      </w:r>
    </w:p>
    <w:p w14:paraId="2923DFF3" w14:textId="77777777" w:rsidR="00B262FF"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Общее впечатление — исходный материал для анализа, но не универсальное доказательство всех желательных или нежелательных качеств.</w:t>
      </w:r>
    </w:p>
    <w:p w14:paraId="6053332F" w14:textId="77777777" w:rsidR="00B262FF" w:rsidRDefault="00000000">
      <w:pPr>
        <w:pStyle w:val="1"/>
        <w:pageBreakBefore/>
        <w:spacing w:before="0"/>
      </w:pPr>
      <w:bookmarkStart w:id="4" w:name="Section_05"/>
      <w:bookmarkEnd w:id="4"/>
      <w:r>
        <w:lastRenderedPageBreak/>
        <w:t>Атрибуция: как объясняются причины поведения</w:t>
      </w:r>
    </w:p>
    <w:p w14:paraId="72DF7DF8" w14:textId="77777777" w:rsidR="00B262FF" w:rsidRDefault="00000000">
      <w:r>
        <w:t>Атрибуция — приписывание причин наблюдаемому событию. Одну и ту же задержку ответа можно объяснить невнимательностью, перегрузкой, техническим сбоем или неясностью запроса. Для имиджевого анализа важно не выбирать удобное объяснение сразу, а установить, какие сведения позволяют различить версии.</w:t>
      </w:r>
    </w:p>
    <w:p w14:paraId="02F08284" w14:textId="77777777" w:rsidR="00B262FF" w:rsidRDefault="00000000">
      <w:r>
        <w:t>Предлагается учебная процедура «ситуация — альтернативы — проверка». Сначала описывается эпизод без оценочных слов. Затем формулируются минимум два возможных объяснения. Наконец, определяется наблюдение, которое действительно помогло бы их различить. Например, журнал уведомлений может проверить получение сообщения, но не позволяет непосредственно установить внутреннее отношение адресата.</w:t>
      </w:r>
    </w:p>
    <w:p w14:paraId="5FCBB953" w14:textId="77777777" w:rsidR="00B262FF" w:rsidRDefault="00000000">
      <w:pPr>
        <w:pStyle w:val="21"/>
      </w:pPr>
      <w:r>
        <w:t>Что учитывать в контексте</w:t>
      </w:r>
    </w:p>
    <w:p w14:paraId="259187EA" w14:textId="77777777" w:rsidR="00B262FF" w:rsidRDefault="00000000">
      <w:r>
        <w:t>Контекст включает задачу, правила ситуации, доступное время, язык общения и технические условия. На видеовстрече пауза может быть связана с задержкой связи. В письменной переписке краткость может отражать согласованный рабочий формат. Но наличие возможного объяснения не означает, что оно автоматически верно: его также нужно проверять.</w:t>
      </w:r>
    </w:p>
    <w:p w14:paraId="5B17CF8F" w14:textId="77777777" w:rsidR="00B262FF" w:rsidRDefault="00000000">
      <w:r>
        <w:t>При проектировании коммуникации полезно заранее уменьшать неоднозначность. Можно обозначить срок ответа, предупредить о технической проблеме или уточнить, какой материал будет прислан позже. Это не попытка управлять всеми интерпретациями, а предоставление аудитории существенного контекста.</w:t>
      </w:r>
    </w:p>
    <w:p w14:paraId="3B827997" w14:textId="77777777" w:rsidR="00B262FF" w:rsidRDefault="00000000">
      <w:r>
        <w:t>Ответственность и объяснение также различаются. Техническая причина задержки не отменяет необходимости сообщить об изменении сроков, если такая возможность имеется. Поэтому корректирующее решение может одновременно учитывать обстоятельства и устанавливать понятный порядок взаимодействия.</w:t>
      </w:r>
    </w:p>
    <w:p w14:paraId="177F6B20" w14:textId="77777777" w:rsidR="00B262FF" w:rsidRDefault="00000000">
      <w:r>
        <w:t>В учебных рецензиях избегайте слов «ленивый», «слабый», «нечестный», если анализируются только отдельные материалы. Опишите проблему, возможные последствия для понимания и способ уточнения. Так обратная связь становится применимой к действиям, а не к предположениям о личности.</w:t>
      </w:r>
    </w:p>
    <w:p w14:paraId="0E3D793A" w14:textId="77777777" w:rsidR="00B262FF" w:rsidRDefault="00000000">
      <w:pPr>
        <w:pStyle w:val="1"/>
        <w:pageBreakBefore/>
        <w:spacing w:before="0"/>
      </w:pPr>
      <w:bookmarkStart w:id="5" w:name="Section_06"/>
      <w:bookmarkEnd w:id="5"/>
      <w:r>
        <w:lastRenderedPageBreak/>
        <w:t>Компетентность и доброжелательность как измерения восприятия</w:t>
      </w:r>
    </w:p>
    <w:p w14:paraId="67606E4D" w14:textId="77777777" w:rsidR="00B262FF" w:rsidRDefault="00000000">
      <w:r>
        <w:t>В модели С. Фиске, Э. Кадди и П. Глика важными измерениями социального восприятия выступают теплота и компетентность [2]. В учебных целях первое измерение можно обсуждать через предполагаемые намерения и отношение к собеседнику, второе — через предполагаемую способность выполнять задачи. Это характеристики восприятия, а не объективные диагнозы.</w:t>
      </w:r>
    </w:p>
    <w:p w14:paraId="79745DB4" w14:textId="77777777" w:rsidR="00B262FF" w:rsidRDefault="00000000">
      <w:r>
        <w:t>Материал может быть содержательно сильным, но трудным для диалога; другой — дружелюбным, но недостаточно конкретным. Из этого не следует необходимость выбирать между профессионализмом и уважением. Задача проекта — выяснить, какие признаки помогут понятно представить и содержание работы, и порядок взаимодействия.</w:t>
      </w:r>
    </w:p>
    <w:p w14:paraId="003BCB83" w14:textId="77777777" w:rsidR="00B262FF" w:rsidRDefault="00000000">
      <w:pPr>
        <w:pStyle w:val="21"/>
      </w:pPr>
      <w:r>
        <w:t>Операционализация для учебного анализа</w:t>
      </w:r>
    </w:p>
    <w:p w14:paraId="10FB23A7" w14:textId="77777777" w:rsidR="00B262FF" w:rsidRDefault="00000000">
      <w:r>
        <w:t>Чтобы превратить общие слова в наблюдения, задайте конкретные вопросы. Понятно ли объяснена задача? Приведен ли пример решения? Указаны ли ограничения? Предусмотрен ли способ задать вопрос? Сообщено ли, когда ожидать ответа? Эти признаки можно проверить в материале, не пытаясь определить внутренние свойства автора.</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651"/>
        <w:gridCol w:w="2840"/>
        <w:gridCol w:w="3977"/>
      </w:tblGrid>
      <w:tr w:rsidR="00B262FF" w14:paraId="20EF54E2" w14:textId="77777777">
        <w:trPr>
          <w:cantSplit/>
          <w:tblHeader/>
          <w:jc w:val="center"/>
        </w:trPr>
        <w:tc>
          <w:tcPr>
            <w:tcW w:w="2651" w:type="dxa"/>
            <w:shd w:val="clear" w:color="auto" w:fill="19354A"/>
          </w:tcPr>
          <w:p w14:paraId="0D9386F4" w14:textId="77777777" w:rsidR="00B262FF" w:rsidRDefault="00000000">
            <w:pPr>
              <w:pStyle w:val="LectureTable"/>
              <w:keepNext/>
              <w:spacing w:after="0"/>
            </w:pPr>
            <w:r>
              <w:rPr>
                <w:b/>
                <w:color w:val="FFFFFF"/>
              </w:rPr>
              <w:t>Абстрактная цель</w:t>
            </w:r>
          </w:p>
        </w:tc>
        <w:tc>
          <w:tcPr>
            <w:tcW w:w="2840" w:type="dxa"/>
            <w:shd w:val="clear" w:color="auto" w:fill="19354A"/>
          </w:tcPr>
          <w:p w14:paraId="6FACF2D8" w14:textId="77777777" w:rsidR="00B262FF" w:rsidRDefault="00000000">
            <w:pPr>
              <w:pStyle w:val="LectureTable"/>
              <w:keepNext/>
              <w:spacing w:after="0"/>
            </w:pPr>
            <w:r>
              <w:rPr>
                <w:b/>
                <w:color w:val="FFFFFF"/>
              </w:rPr>
              <w:t>Возможное решение</w:t>
            </w:r>
          </w:p>
        </w:tc>
        <w:tc>
          <w:tcPr>
            <w:tcW w:w="3977" w:type="dxa"/>
            <w:shd w:val="clear" w:color="auto" w:fill="19354A"/>
          </w:tcPr>
          <w:p w14:paraId="58ED414F" w14:textId="77777777" w:rsidR="00B262FF" w:rsidRDefault="00000000">
            <w:pPr>
              <w:pStyle w:val="LectureTable"/>
              <w:keepNext/>
              <w:spacing w:after="0"/>
            </w:pPr>
            <w:r>
              <w:rPr>
                <w:b/>
                <w:color w:val="FFFFFF"/>
              </w:rPr>
              <w:t>Способ проверки</w:t>
            </w:r>
          </w:p>
        </w:tc>
      </w:tr>
      <w:tr w:rsidR="00B262FF" w14:paraId="3BB79486" w14:textId="77777777">
        <w:trPr>
          <w:cantSplit/>
          <w:jc w:val="center"/>
        </w:trPr>
        <w:tc>
          <w:tcPr>
            <w:tcW w:w="2651" w:type="dxa"/>
            <w:shd w:val="clear" w:color="auto" w:fill="F0F4F6"/>
          </w:tcPr>
          <w:p w14:paraId="18982C22" w14:textId="77777777" w:rsidR="00B262FF" w:rsidRDefault="00000000">
            <w:pPr>
              <w:pStyle w:val="LectureTable"/>
              <w:keepNext/>
              <w:spacing w:after="0"/>
            </w:pPr>
            <w:r>
              <w:t>Показать применимые навыки</w:t>
            </w:r>
          </w:p>
        </w:tc>
        <w:tc>
          <w:tcPr>
            <w:tcW w:w="2840" w:type="dxa"/>
            <w:shd w:val="clear" w:color="auto" w:fill="F0F4F6"/>
          </w:tcPr>
          <w:p w14:paraId="20E1D983" w14:textId="77777777" w:rsidR="00B262FF" w:rsidRDefault="00000000">
            <w:pPr>
              <w:pStyle w:val="LectureTable"/>
              <w:keepNext/>
              <w:spacing w:after="0"/>
            </w:pPr>
            <w:r>
              <w:t>Описать задачу и личные действия</w:t>
            </w:r>
          </w:p>
        </w:tc>
        <w:tc>
          <w:tcPr>
            <w:tcW w:w="3977" w:type="dxa"/>
            <w:shd w:val="clear" w:color="auto" w:fill="F0F4F6"/>
          </w:tcPr>
          <w:p w14:paraId="1362432B" w14:textId="77777777" w:rsidR="00B262FF" w:rsidRDefault="00000000">
            <w:pPr>
              <w:pStyle w:val="LectureTable"/>
              <w:keepNext/>
              <w:spacing w:after="0"/>
            </w:pPr>
            <w:r>
              <w:t>Участник объясняет вклад автора</w:t>
            </w:r>
          </w:p>
        </w:tc>
      </w:tr>
      <w:tr w:rsidR="00B262FF" w14:paraId="0C80F067" w14:textId="77777777">
        <w:trPr>
          <w:cantSplit/>
          <w:jc w:val="center"/>
        </w:trPr>
        <w:tc>
          <w:tcPr>
            <w:tcW w:w="2651" w:type="dxa"/>
            <w:shd w:val="clear" w:color="auto" w:fill="FFFFFF"/>
          </w:tcPr>
          <w:p w14:paraId="0CC9B299" w14:textId="77777777" w:rsidR="00B262FF" w:rsidRDefault="00000000">
            <w:pPr>
              <w:pStyle w:val="LectureTable"/>
              <w:keepNext/>
              <w:spacing w:after="0"/>
            </w:pPr>
            <w:r>
              <w:t>Сделать общение понятнее</w:t>
            </w:r>
          </w:p>
        </w:tc>
        <w:tc>
          <w:tcPr>
            <w:tcW w:w="2840" w:type="dxa"/>
            <w:shd w:val="clear" w:color="auto" w:fill="FFFFFF"/>
          </w:tcPr>
          <w:p w14:paraId="30D549DC" w14:textId="77777777" w:rsidR="00B262FF" w:rsidRDefault="00000000">
            <w:pPr>
              <w:pStyle w:val="LectureTable"/>
              <w:keepNext/>
              <w:spacing w:after="0"/>
            </w:pPr>
            <w:r>
              <w:t>Указать порядок обращения</w:t>
            </w:r>
          </w:p>
        </w:tc>
        <w:tc>
          <w:tcPr>
            <w:tcW w:w="3977" w:type="dxa"/>
            <w:shd w:val="clear" w:color="auto" w:fill="FFFFFF"/>
          </w:tcPr>
          <w:p w14:paraId="017F5232" w14:textId="77777777" w:rsidR="00B262FF" w:rsidRDefault="00000000">
            <w:pPr>
              <w:pStyle w:val="LectureTable"/>
              <w:keepNext/>
              <w:spacing w:after="0"/>
            </w:pPr>
            <w:r>
              <w:t>Участник находит следующий шаг</w:t>
            </w:r>
          </w:p>
        </w:tc>
      </w:tr>
      <w:tr w:rsidR="00B262FF" w14:paraId="1E5C7865" w14:textId="77777777">
        <w:trPr>
          <w:cantSplit/>
          <w:jc w:val="center"/>
        </w:trPr>
        <w:tc>
          <w:tcPr>
            <w:tcW w:w="2651" w:type="dxa"/>
            <w:shd w:val="clear" w:color="auto" w:fill="F0F4F6"/>
          </w:tcPr>
          <w:p w14:paraId="499367A6" w14:textId="77777777" w:rsidR="00B262FF" w:rsidRDefault="00000000">
            <w:pPr>
              <w:pStyle w:val="LectureTable"/>
              <w:spacing w:after="0"/>
            </w:pPr>
            <w:r>
              <w:t>Продемонстрировать точность</w:t>
            </w:r>
          </w:p>
        </w:tc>
        <w:tc>
          <w:tcPr>
            <w:tcW w:w="2840" w:type="dxa"/>
            <w:shd w:val="clear" w:color="auto" w:fill="F0F4F6"/>
          </w:tcPr>
          <w:p w14:paraId="36FC348B" w14:textId="77777777" w:rsidR="00B262FF" w:rsidRDefault="00000000">
            <w:pPr>
              <w:pStyle w:val="LectureTable"/>
              <w:spacing w:after="0"/>
            </w:pPr>
            <w:r>
              <w:t>Разделить факт и предположение</w:t>
            </w:r>
          </w:p>
        </w:tc>
        <w:tc>
          <w:tcPr>
            <w:tcW w:w="3977" w:type="dxa"/>
            <w:shd w:val="clear" w:color="auto" w:fill="F0F4F6"/>
          </w:tcPr>
          <w:p w14:paraId="04788394" w14:textId="77777777" w:rsidR="00B262FF" w:rsidRDefault="00000000">
            <w:pPr>
              <w:pStyle w:val="LectureTable"/>
              <w:spacing w:after="0"/>
            </w:pPr>
            <w:r>
              <w:t>Участник различает статусы сведений</w:t>
            </w:r>
          </w:p>
        </w:tc>
      </w:tr>
    </w:tbl>
    <w:p w14:paraId="5C8373EF" w14:textId="77777777" w:rsidR="00B262FF" w:rsidRDefault="00B262FF">
      <w:pPr>
        <w:spacing w:after="0" w:line="120" w:lineRule="exact"/>
      </w:pPr>
    </w:p>
    <w:p w14:paraId="3A038F56" w14:textId="77777777" w:rsidR="00B262FF" w:rsidRDefault="00000000">
      <w:r>
        <w:t>Не следует превращать модель в универсальную таблицу «типов людей». Один и тот же человек может восприниматься по-разному в разных ситуациях. Для исследования важны конкретная аудитория, материал и момент контакта, а не присвоение постоянного ярлыка.</w:t>
      </w:r>
    </w:p>
    <w:p w14:paraId="359EA538" w14:textId="77777777" w:rsidR="00B262FF" w:rsidRDefault="00000000">
      <w:r>
        <w:t>Рабочий вывод: когда студент пишет «профиль вызывает доверие», преподаватель вправе спросить, что именно имеется в виду и какие наблюдения это подтверждают.</w:t>
      </w:r>
    </w:p>
    <w:p w14:paraId="22351A0E" w14:textId="77777777" w:rsidR="00B262FF" w:rsidRDefault="00000000">
      <w:pPr>
        <w:pStyle w:val="1"/>
        <w:pageBreakBefore/>
        <w:spacing w:before="0"/>
      </w:pPr>
      <w:bookmarkStart w:id="6" w:name="Section_07"/>
      <w:bookmarkEnd w:id="6"/>
      <w:r>
        <w:lastRenderedPageBreak/>
        <w:t>Управление впечатлением: мотив, средства и пределы</w:t>
      </w:r>
    </w:p>
    <w:p w14:paraId="6A355437" w14:textId="77777777" w:rsidR="00B262FF" w:rsidRDefault="00000000">
      <w:r>
        <w:t>Модель Лири и Ковальски разделяет мотивацию управления впечатлением и его конструирование [1]. Для проекта это означает, что до выбора средств необходимо выяснить значимую ситуацию и желаемое восприятие. Подготовка к собеседованию и представление услуги постоянному клиенту могут опираться на одни факты, но требовать разной глубины объяснения.</w:t>
      </w:r>
    </w:p>
    <w:p w14:paraId="1AECA69D" w14:textId="77777777" w:rsidR="00B262FF" w:rsidRDefault="00000000">
      <w:r>
        <w:t>Средства управления впечатлением включают отбор примеров, структуру сообщения, уточнение роли и способы поведения. В курсе допустимая самопрезентация означает выбор релевантной правдивой информации. Она не предполагает фабрикацию опыта, сокрытие существенных ограничений или создание ложных свидетельств независимого одобрения.</w:t>
      </w:r>
    </w:p>
    <w:p w14:paraId="03C08658" w14:textId="77777777" w:rsidR="00B262FF" w:rsidRDefault="00000000">
      <w:pPr>
        <w:pStyle w:val="21"/>
      </w:pPr>
      <w:r>
        <w:t>Сигнал и подтверждение</w:t>
      </w:r>
    </w:p>
    <w:p w14:paraId="0BEE7F04" w14:textId="77777777" w:rsidR="00B262FF" w:rsidRDefault="00000000">
      <w:r>
        <w:t>Фраза «внимателен к деталям» является заявлением. Пример исправленного отчета с объяснением проверок дает аудитории больше оснований для оценки. При этом и пример не гарантирует безошибочность будущей работы. Следовательно, полезно сообщать конкретное действие, а не делать абсолютное обещание.</w:t>
      </w:r>
    </w:p>
    <w:p w14:paraId="578B73E6" w14:textId="77777777" w:rsidR="00B262FF" w:rsidRDefault="00000000">
      <w:r>
        <w:t>Другой важный прием — согласованность. Если специалист обещает простое объяснение, материал должен позволять проверить его понятность. Если позиционирование связано с прозрачностью, необходимо обозначить границы данных. В противном случае заявленная характеристика и демонстрируемое поведение вступают в противоречие.</w:t>
      </w:r>
    </w:p>
    <w:p w14:paraId="1BEA2848" w14:textId="77777777" w:rsidR="00B262FF" w:rsidRDefault="00000000">
      <w:r>
        <w:t>Обратная связь не означает обязанность удовлетворять любое ожидание аудитории. Некоторые ожидания могут быть нерелевантными или дискриминационными. В таком случае задача состоит не в подстройке человека под предубеждение, а в уточнении критериев профессиональной оценки и допустимых границ взаимодействия.</w:t>
      </w:r>
    </w:p>
    <w:p w14:paraId="011810F3" w14:textId="77777777" w:rsidR="00B262FF"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Эффективность приема в учебном проекте оценивается не только по впечатлению, но и по правдивости, уместности и уважению самостоятельности аудитории.</w:t>
      </w:r>
    </w:p>
    <w:p w14:paraId="134EF600" w14:textId="77777777" w:rsidR="00B262FF" w:rsidRDefault="00000000">
      <w:pPr>
        <w:pStyle w:val="1"/>
        <w:pageBreakBefore/>
        <w:spacing w:before="0"/>
      </w:pPr>
      <w:bookmarkStart w:id="7" w:name="Section_08"/>
      <w:bookmarkEnd w:id="7"/>
      <w:r>
        <w:lastRenderedPageBreak/>
        <w:t>Учебный кейс: пауза на видеособеседовании</w:t>
      </w:r>
    </w:p>
    <w:p w14:paraId="5740088F" w14:textId="77777777" w:rsidR="00B262FF" w:rsidRDefault="00000000">
      <w:r>
        <w:t>Кейс вымышленный. Кандидат Денис отвечает на вопрос о проекте. Перед ответом делает паузу, затем смотрит в сторону и открывает файл. Один наблюдатель пишет: «Не знает материал». Другой: «Проверяет точность цифр». Третий: «Вероятно, возникла задержка связи». В записи нет сведений, позволяющих сразу выбрать одну версию.</w:t>
      </w:r>
    </w:p>
    <w:p w14:paraId="4E9541E2" w14:textId="77777777" w:rsidR="00B262FF" w:rsidRDefault="00000000">
      <w:pPr>
        <w:pStyle w:val="21"/>
      </w:pPr>
      <w:r>
        <w:t>Разбор по уровням</w:t>
      </w:r>
    </w:p>
    <w:p w14:paraId="4F0D5ADC" w14:textId="77777777" w:rsidR="00B262FF" w:rsidRDefault="00000000">
      <w:r>
        <w:t>Наблюдение: перед ответом была пауза; кандидат открыл файл; после этого назвал показатели. Интерпретации: неуверенность, проверка данных, техническая задержка. Проверяемый вопрос: может ли кандидат объяснить, откуда взяты показатели и как они относятся к задаче? Именно этот вопрос ближе к оценке профессионального содержания, чем направление взгляда.</w:t>
      </w:r>
    </w:p>
    <w:p w14:paraId="4E638901" w14:textId="77777777" w:rsidR="00B262FF" w:rsidRDefault="00000000">
      <w:r>
        <w:t>Преподаватель сообщает дополнительное условие: кандидат заранее сказал, что воспользуется таблицей, чтобы не перепутать единицы измерения. Эта информация делает объяснение «проверяет данные» более обоснованным в рамках кейса. Однако она не доказывает остальные качества кандидата и не превращает каждую паузу в положительный признак.</w:t>
      </w:r>
    </w:p>
    <w:p w14:paraId="5B8BD875" w14:textId="77777777" w:rsidR="00B262FF" w:rsidRDefault="00000000">
      <w:r>
        <w:t>Для улучшения коммуникации Денису можно предложить короткую связку: «Открою таблицу и уточню число, затем объясню, как оно получено». Прием делает действие понятнее, но не заменяет знания методики. Хороший ответ должен содержать объяснение и признание ограничений результата.</w:t>
      </w:r>
    </w:p>
    <w:p w14:paraId="1EFBEC54" w14:textId="77777777" w:rsidR="00B262FF" w:rsidRDefault="00000000">
      <w:pPr>
        <w:pStyle w:val="21"/>
      </w:pPr>
      <w:r>
        <w:t>Почему это важно для оценки</w:t>
      </w:r>
    </w:p>
    <w:p w14:paraId="41A6149A" w14:textId="77777777" w:rsidR="00B262FF" w:rsidRDefault="00000000">
      <w:r>
        <w:t>Если комиссия заранее использует критерии «ясность задачи», «личный вклад» и «качество доказательств», ей проще обсуждать содержание. Если критерий звучит как «уверенный вид», возникает риск смешения привычной манеры общения и реальной компетентности.</w:t>
      </w:r>
    </w:p>
    <w:p w14:paraId="1B7139BB" w14:textId="77777777" w:rsidR="00B262FF" w:rsidRDefault="00000000">
      <w:r>
        <w:t>Итог кейса — не требование всегда комментировать каждый жест. Это напоминание: неоднозначные признаки нужно рассматривать в контексте, а оценку профессиональных возможностей связывать с релевантными данными.</w:t>
      </w:r>
    </w:p>
    <w:p w14:paraId="61C06FFB" w14:textId="77777777" w:rsidR="00B262FF" w:rsidRDefault="00000000">
      <w:pPr>
        <w:pStyle w:val="1"/>
        <w:pageBreakBefore/>
        <w:spacing w:before="0"/>
      </w:pPr>
      <w:bookmarkStart w:id="8" w:name="Section_09"/>
      <w:bookmarkEnd w:id="8"/>
      <w:r>
        <w:lastRenderedPageBreak/>
        <w:t>Самостоятельная работа: проверяем впечатление</w:t>
      </w:r>
    </w:p>
    <w:p w14:paraId="2E94E11A" w14:textId="77777777" w:rsidR="00B262FF" w:rsidRDefault="00000000">
      <w:r>
        <w:t>Создайте две краткие версии представления вымышленного специалиста на основе одинакового набора фактов. В первой факты перечисляются без структуры. Во второй они организованы как роль, задача и подтверждение. Нельзя добавлять достижения, менять опыт или подменять содержание: иначе сравнение будет проверять сразу несколько различий.</w:t>
      </w:r>
    </w:p>
    <w:p w14:paraId="208C7205" w14:textId="77777777" w:rsidR="00B262FF" w:rsidRDefault="00000000">
      <w:r>
        <w:t>Предложите материалы добровольным участникам учебного просмотра. По возможности распределите версии между разными людьми случайным способом. Если одни участники видят обе версии, отметьте риск влияния порядка и повторного знакомства. Небольшая удобная выборка подходит для тренировки, но не представляет всех работодателей или клиентов.</w:t>
      </w:r>
    </w:p>
    <w:p w14:paraId="46FEFFE9" w14:textId="77777777" w:rsidR="00B262FF" w:rsidRDefault="00000000">
      <w:r>
        <w:t>После просмотра задайте одинаковые вопросы: какая специализация представлена, что автор умеет делать, какие сведения подтверждают этот вывод и что осталось неясным? Общую оценку привлекательности можно добавить отдельно, но она не должна заменять проверку понимания.</w:t>
      </w:r>
    </w:p>
    <w:p w14:paraId="3FAC5C2B" w14:textId="77777777" w:rsidR="00B262FF" w:rsidRDefault="00000000">
      <w:pPr>
        <w:pStyle w:val="21"/>
      </w:pPr>
      <w:r>
        <w:t>Структура отчета</w:t>
      </w:r>
    </w:p>
    <w:p w14:paraId="5258C53F" w14:textId="77777777" w:rsidR="00B262FF" w:rsidRDefault="00000000">
      <w:r>
        <w:t>Опишите материалы, различие между версиями, способ приглашения участников и вопросы. Затем приведите обезличенные ответы, сравните содержание интерпретаций и сформулируйте узкий вывод. Если данные неоднозначны, объясните возможные причины вместо выбора только удобных ответов.</w:t>
      </w:r>
    </w:p>
    <w:p w14:paraId="3293E3BF" w14:textId="77777777" w:rsidR="00B262FF" w:rsidRDefault="00000000">
      <w:r>
        <w:t>Оценивание: ясность гипотезы — 2 балла; сопоставимость материалов — 2; прозрачность процедуры — 2; корректность интерпретации — 3; этичность — 1. Максимум — 10 баллов. Высокая оценка не зависит от того, «победила» ли вторая версия: важнее качество проверки.</w:t>
      </w:r>
    </w:p>
    <w:p w14:paraId="6E94D267" w14:textId="77777777" w:rsidR="00B262FF" w:rsidRDefault="00000000">
      <w:r>
        <w:t>Для рефлексии ответьте: какое ваше первоначальное ожидание не подтвердилось? Какое наблюдение оказалось наиболее полезным? Что необходимо изменить в следующем тесте? В итоговом проекте этот протокол будет использоваться для проверки конкретных коммуникационных решений.</w:t>
      </w:r>
    </w:p>
    <w:p w14:paraId="5E58A636" w14:textId="77777777" w:rsidR="00B262FF" w:rsidRDefault="00000000">
      <w:pPr>
        <w:pStyle w:val="1"/>
        <w:pageBreakBefore/>
        <w:spacing w:before="0"/>
      </w:pPr>
      <w:bookmarkStart w:id="9" w:name="Section_10"/>
      <w:bookmarkEnd w:id="9"/>
      <w:r>
        <w:lastRenderedPageBreak/>
        <w:t>Самопроверка и источники</w:t>
      </w:r>
    </w:p>
    <w:p w14:paraId="09ED5BEF" w14:textId="77777777" w:rsidR="00B262FF" w:rsidRDefault="00000000">
      <w:pPr>
        <w:pStyle w:val="21"/>
      </w:pPr>
      <w:r>
        <w:t>Вопросы</w:t>
      </w:r>
    </w:p>
    <w:p w14:paraId="71EC8C07" w14:textId="77777777" w:rsidR="00B262FF" w:rsidRDefault="00000000">
      <w:r>
        <w:t>1. Является ли фраза «отвел взгляд, значит скрывает информацию» наблюдением? 2. Почему первое впечатление не равно точной оценке личности? 3. Как уменьшить влияние общего впечатления на проверку портфолио? 4. Что отличает гипотезу о восприятии от установленного результата?</w:t>
      </w:r>
    </w:p>
    <w:p w14:paraId="1AC4EF31" w14:textId="77777777" w:rsidR="00B262FF" w:rsidRDefault="00000000">
      <w:pPr>
        <w:pStyle w:val="21"/>
      </w:pPr>
      <w:r>
        <w:t>Ответы-ориентиры</w:t>
      </w:r>
    </w:p>
    <w:p w14:paraId="1018EE04" w14:textId="77777777" w:rsidR="00B262FF" w:rsidRDefault="00000000">
      <w:r>
        <w:t>Первое утверждение содержит интерпретацию причины, не следующую однозначно из признака. Быстрое суждение не подтверждает реальность приписанного качества. Для портфолио полезны заранее определенные раздельные критерии и ссылки на конкретные фрагменты. Гипотеза требует проверки; результат относится к полученным данным, указанным участникам и условиям.</w:t>
      </w:r>
    </w:p>
    <w:p w14:paraId="276FC04F" w14:textId="77777777" w:rsidR="00B262FF" w:rsidRDefault="00000000">
      <w:pPr>
        <w:pStyle w:val="21"/>
      </w:pPr>
      <w:r>
        <w:t>Итог и термины</w:t>
      </w:r>
    </w:p>
    <w:p w14:paraId="05315AAA" w14:textId="77777777" w:rsidR="00B262FF" w:rsidRDefault="00000000">
      <w:r>
        <w:t>Социальная перцепция — формирование представлений о других. Атрибуция — объяснение причин поведения. Эффект ореола — перенос общей оценки на отдельные характеристики. Стереотип — обобщенное ожидание о категории. Операционализация — перевод понятия в наблюдаемые признаки и вопросы.</w:t>
      </w:r>
    </w:p>
    <w:p w14:paraId="516FD591" w14:textId="77777777" w:rsidR="00B262FF" w:rsidRDefault="00000000">
      <w:r>
        <w:t>Профессиональный анализ начинается с наблюдения, рассматривает альтернативы и заканчивается выводом соразмерной силы. Психологическая модель не оправдывает чтение характера по внешности и не освобождает от проверки фактов.</w:t>
      </w:r>
    </w:p>
    <w:p w14:paraId="4A610327" w14:textId="77777777" w:rsidR="00B262FF" w:rsidRPr="00905380" w:rsidRDefault="00000000">
      <w:pPr>
        <w:pStyle w:val="21"/>
        <w:rPr>
          <w:lang w:val="en-US"/>
        </w:rPr>
      </w:pPr>
      <w:r>
        <w:t>Источники</w:t>
      </w:r>
      <w:r w:rsidRPr="00905380">
        <w:rPr>
          <w:lang w:val="en-US"/>
        </w:rPr>
        <w:t xml:space="preserve"> </w:t>
      </w:r>
      <w:r>
        <w:t>и</w:t>
      </w:r>
      <w:r w:rsidRPr="00905380">
        <w:rPr>
          <w:lang w:val="en-US"/>
        </w:rPr>
        <w:t xml:space="preserve"> </w:t>
      </w:r>
      <w:r>
        <w:t>дальнейшее</w:t>
      </w:r>
      <w:r w:rsidRPr="00905380">
        <w:rPr>
          <w:lang w:val="en-US"/>
        </w:rPr>
        <w:t xml:space="preserve"> </w:t>
      </w:r>
      <w:r>
        <w:t>чтение</w:t>
      </w:r>
    </w:p>
    <w:p w14:paraId="06C2C317" w14:textId="77777777" w:rsidR="00B262FF" w:rsidRPr="00905380" w:rsidRDefault="00000000">
      <w:pPr>
        <w:pStyle w:val="LectureReference"/>
        <w:rPr>
          <w:lang w:val="en-US"/>
        </w:rPr>
      </w:pPr>
      <w:r w:rsidRPr="00905380">
        <w:rPr>
          <w:lang w:val="en-US"/>
        </w:rPr>
        <w:t xml:space="preserve">[1] Leary M. R., Kowalski R. M. Impression Management: A Literature Review and Two-Component Model. Psychological Bulletin. 1990. Vol. 107(1). P. 34–47. </w:t>
      </w:r>
      <w:hyperlink r:id="rId8" w:history="1">
        <w:r>
          <w:rPr>
            <w:color w:val="176B72"/>
            <w:u w:val="single"/>
          </w:rPr>
          <w:t>Перейти</w:t>
        </w:r>
        <w:r w:rsidRPr="00905380">
          <w:rPr>
            <w:color w:val="176B72"/>
            <w:u w:val="single"/>
            <w:lang w:val="en-US"/>
          </w:rPr>
          <w:t xml:space="preserve"> </w:t>
        </w:r>
        <w:r>
          <w:rPr>
            <w:color w:val="176B72"/>
            <w:u w:val="single"/>
          </w:rPr>
          <w:t>к</w:t>
        </w:r>
        <w:r w:rsidRPr="00905380">
          <w:rPr>
            <w:color w:val="176B72"/>
            <w:u w:val="single"/>
            <w:lang w:val="en-US"/>
          </w:rPr>
          <w:t xml:space="preserve"> </w:t>
        </w:r>
        <w:r>
          <w:rPr>
            <w:color w:val="176B72"/>
            <w:u w:val="single"/>
          </w:rPr>
          <w:t>источнику</w:t>
        </w:r>
      </w:hyperlink>
      <w:r w:rsidRPr="00905380">
        <w:rPr>
          <w:lang w:val="en-US"/>
        </w:rPr>
        <w:t>.</w:t>
      </w:r>
    </w:p>
    <w:p w14:paraId="78C30D9D" w14:textId="77777777" w:rsidR="00B262FF" w:rsidRPr="00905380" w:rsidRDefault="00000000">
      <w:pPr>
        <w:pStyle w:val="LectureReference"/>
        <w:rPr>
          <w:lang w:val="en-US"/>
        </w:rPr>
      </w:pPr>
      <w:r w:rsidRPr="00905380">
        <w:rPr>
          <w:lang w:val="en-US"/>
        </w:rPr>
        <w:t xml:space="preserve">[2] Fiske S. T., Cuddy A. J. C., Glick P. Universal Dimensions of Social Cognition: Warmth and Competence. Trends in Cognitive Sciences. 2007. Vol. 11(2). P. 77–83. </w:t>
      </w:r>
      <w:hyperlink r:id="rId9" w:history="1">
        <w:r>
          <w:rPr>
            <w:color w:val="176B72"/>
            <w:u w:val="single"/>
          </w:rPr>
          <w:t>Перейти</w:t>
        </w:r>
        <w:r w:rsidRPr="00905380">
          <w:rPr>
            <w:color w:val="176B72"/>
            <w:u w:val="single"/>
            <w:lang w:val="en-US"/>
          </w:rPr>
          <w:t xml:space="preserve"> </w:t>
        </w:r>
        <w:r>
          <w:rPr>
            <w:color w:val="176B72"/>
            <w:u w:val="single"/>
          </w:rPr>
          <w:t>к</w:t>
        </w:r>
        <w:r w:rsidRPr="00905380">
          <w:rPr>
            <w:color w:val="176B72"/>
            <w:u w:val="single"/>
            <w:lang w:val="en-US"/>
          </w:rPr>
          <w:t xml:space="preserve"> </w:t>
        </w:r>
        <w:r>
          <w:rPr>
            <w:color w:val="176B72"/>
            <w:u w:val="single"/>
          </w:rPr>
          <w:t>источнику</w:t>
        </w:r>
      </w:hyperlink>
      <w:r w:rsidRPr="00905380">
        <w:rPr>
          <w:lang w:val="en-US"/>
        </w:rPr>
        <w:t>.</w:t>
      </w:r>
    </w:p>
    <w:p w14:paraId="6DEE2C14" w14:textId="77777777" w:rsidR="00B262FF" w:rsidRPr="00905380" w:rsidRDefault="00000000">
      <w:pPr>
        <w:pStyle w:val="LectureReference"/>
        <w:rPr>
          <w:lang w:val="en-US"/>
        </w:rPr>
      </w:pPr>
      <w:r w:rsidRPr="00905380">
        <w:rPr>
          <w:lang w:val="en-US"/>
        </w:rPr>
        <w:t xml:space="preserve">[3] Nisbett R. E., Wilson T. D. The Halo Effect: Evidence for Unconscious Alteration of Judgments. Journal of Personality and Social Psychology. 1977. Vol. 35(4). P. 250–256. </w:t>
      </w:r>
      <w:hyperlink r:id="rId10" w:history="1">
        <w:r>
          <w:rPr>
            <w:color w:val="176B72"/>
            <w:u w:val="single"/>
          </w:rPr>
          <w:t>Перейти</w:t>
        </w:r>
        <w:r w:rsidRPr="00905380">
          <w:rPr>
            <w:color w:val="176B72"/>
            <w:u w:val="single"/>
            <w:lang w:val="en-US"/>
          </w:rPr>
          <w:t xml:space="preserve"> </w:t>
        </w:r>
        <w:r>
          <w:rPr>
            <w:color w:val="176B72"/>
            <w:u w:val="single"/>
          </w:rPr>
          <w:t>к</w:t>
        </w:r>
        <w:r w:rsidRPr="00905380">
          <w:rPr>
            <w:color w:val="176B72"/>
            <w:u w:val="single"/>
            <w:lang w:val="en-US"/>
          </w:rPr>
          <w:t xml:space="preserve"> </w:t>
        </w:r>
        <w:r>
          <w:rPr>
            <w:color w:val="176B72"/>
            <w:u w:val="single"/>
          </w:rPr>
          <w:t>источнику</w:t>
        </w:r>
      </w:hyperlink>
      <w:r w:rsidRPr="00905380">
        <w:rPr>
          <w:lang w:val="en-US"/>
        </w:rPr>
        <w:t>.</w:t>
      </w:r>
    </w:p>
    <w:p w14:paraId="651DF8C5" w14:textId="77777777" w:rsidR="00B262FF" w:rsidRDefault="00000000">
      <w:pPr>
        <w:pStyle w:val="LectureReference"/>
      </w:pPr>
      <w:r w:rsidRPr="00905380">
        <w:rPr>
          <w:lang w:val="en-US"/>
        </w:rPr>
        <w:t xml:space="preserve">[4] Willis J., Todorov A. First Impressions: Making Up Your Mind After a 100-ms Exposure to a Face. </w:t>
      </w:r>
      <w:r>
        <w:t xml:space="preserve">Psychological Science. 2006. Vol. 17(7). P. 592–598. </w:t>
      </w:r>
      <w:hyperlink r:id="rId11" w:history="1">
        <w:r>
          <w:rPr>
            <w:color w:val="176B72"/>
            <w:u w:val="single"/>
          </w:rPr>
          <w:t>Перейти к источнику</w:t>
        </w:r>
      </w:hyperlink>
      <w:r>
        <w:t>.</w:t>
      </w:r>
    </w:p>
    <w:p w14:paraId="49DD80FF" w14:textId="77777777" w:rsidR="00B262FF"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B262FF" w:rsidSect="00034616">
      <w:headerReference w:type="default" r:id="rId12"/>
      <w:footerReference w:type="default" r:id="rId13"/>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D8799" w14:textId="77777777" w:rsidR="00EB4159" w:rsidRDefault="00EB4159">
      <w:pPr>
        <w:spacing w:after="0" w:line="240" w:lineRule="auto"/>
      </w:pPr>
      <w:r>
        <w:separator/>
      </w:r>
    </w:p>
  </w:endnote>
  <w:endnote w:type="continuationSeparator" w:id="0">
    <w:p w14:paraId="32855DAC" w14:textId="77777777" w:rsidR="00EB4159" w:rsidRDefault="00EB4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EC03" w14:textId="6CE34BDE" w:rsidR="00B262FF"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519A6" w14:textId="77777777" w:rsidR="00EB4159" w:rsidRDefault="00EB4159">
      <w:pPr>
        <w:spacing w:after="0" w:line="240" w:lineRule="auto"/>
      </w:pPr>
      <w:r>
        <w:separator/>
      </w:r>
    </w:p>
  </w:footnote>
  <w:footnote w:type="continuationSeparator" w:id="0">
    <w:p w14:paraId="16D83F3F" w14:textId="77777777" w:rsidR="00EB4159" w:rsidRDefault="00EB4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7D48" w14:textId="21FC7362" w:rsidR="00B262FF"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02</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29865967">
    <w:abstractNumId w:val="8"/>
  </w:num>
  <w:num w:numId="2" w16cid:durableId="1084109369">
    <w:abstractNumId w:val="6"/>
  </w:num>
  <w:num w:numId="3" w16cid:durableId="1293169459">
    <w:abstractNumId w:val="5"/>
  </w:num>
  <w:num w:numId="4" w16cid:durableId="1411193584">
    <w:abstractNumId w:val="4"/>
  </w:num>
  <w:num w:numId="5" w16cid:durableId="1774475846">
    <w:abstractNumId w:val="7"/>
  </w:num>
  <w:num w:numId="6" w16cid:durableId="1746300744">
    <w:abstractNumId w:val="3"/>
  </w:num>
  <w:num w:numId="7" w16cid:durableId="378212729">
    <w:abstractNumId w:val="2"/>
  </w:num>
  <w:num w:numId="8" w16cid:durableId="2023121656">
    <w:abstractNumId w:val="1"/>
  </w:num>
  <w:num w:numId="9" w16cid:durableId="23752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C696E"/>
    <w:rsid w:val="0029639D"/>
    <w:rsid w:val="00326F90"/>
    <w:rsid w:val="00905380"/>
    <w:rsid w:val="00AA1D8D"/>
    <w:rsid w:val="00B262FF"/>
    <w:rsid w:val="00B47730"/>
    <w:rsid w:val="00CB0664"/>
    <w:rsid w:val="00EB41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EF04CE"/>
  <w14:defaultImageDpi w14:val="300"/>
  <w15:docId w15:val="{C9E524F2-7515-410A-B143-B5FC9630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33-2909.107.1.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1467-9280.2006.01750.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37/0022-3514.35.4.250" TargetMode="External"/><Relationship Id="rId4" Type="http://schemas.openxmlformats.org/officeDocument/2006/relationships/settings" Target="settings.xml"/><Relationship Id="rId9" Type="http://schemas.openxmlformats.org/officeDocument/2006/relationships/hyperlink" Target="https://doi.org/10.1016/j.tics.2006.11.00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2807</Words>
  <Characters>16000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Психология формирования имиджа</dc:title>
  <dc:subject>Имиджмейкерство. Лекция 02.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2026-09-27T19:46:00Z</dcterms:modified>
  <cp:category/>
</cp:coreProperties>
</file>