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2165" w14:textId="77777777" w:rsidR="00660A68" w:rsidRDefault="00000000">
      <w:pPr>
        <w:pStyle w:val="aa"/>
        <w:spacing w:before="0"/>
      </w:pPr>
      <w:bookmarkStart w:id="0" w:name="Section_01"/>
      <w:bookmarkEnd w:id="0"/>
      <w:r>
        <w:t>Введение в имиджмейкерство</w:t>
      </w:r>
    </w:p>
    <w:p w14:paraId="32B4D411" w14:textId="77777777" w:rsidR="00660A68" w:rsidRDefault="00000000">
      <w:pPr>
        <w:pStyle w:val="ac"/>
      </w:pPr>
      <w:r>
        <w:t>Предмет курса и профессиональная логика</w:t>
      </w:r>
    </w:p>
    <w:p w14:paraId="5E3868BD" w14:textId="77777777" w:rsidR="00660A68" w:rsidRDefault="00000000">
      <w:r>
        <w:t>Имиджмейкерство в этом курсе понимается как обоснованная работа с представлениями, которые аудитория формирует о человеке или организации. Ее предмет — не только внешность и не только реклама. Специалист исследует существующее восприятие, выясняет причины расхождения с желаемым образом, проектирует коммуникацию и проверяет изменения. Такое рабочее определение задает границы всех последующих лекций.</w:t>
      </w:r>
    </w:p>
    <w:p w14:paraId="35170F53" w14:textId="77777777" w:rsidR="00660A68" w:rsidRDefault="00000000">
      <w:r>
        <w:t>Представим выпускника с хорошими учебными проектами. В резюме он перечисляет программы, но не объясняет, какие задачи решал. В портфолио размещает красивые изображения без описания личного вклада. Его проблема может заключаться не в отсутствии способностей, а в недостаточной понятности доказательств. Однако это лишь гипотеза: прежде чем менять материалы, необходимо узнать, что действительно затрудняет их понимание работодателем.</w:t>
      </w:r>
    </w:p>
    <w:p w14:paraId="50B3B5DF" w14:textId="77777777" w:rsidR="00660A68" w:rsidRDefault="00000000">
      <w:pPr>
        <w:pStyle w:val="21"/>
      </w:pPr>
      <w:r>
        <w:t>Результаты изучения темы</w:t>
      </w:r>
    </w:p>
    <w:p w14:paraId="19551A3C" w14:textId="77777777" w:rsidR="00660A68" w:rsidRDefault="00000000">
      <w:r>
        <w:t>После лекции студент должен различать имидж, идентичность, репутацию и личный бренд; отделять факт от сообщения и оценки; описывать объект и аудиторию проекта; формулировать задачу имиджмейкера без обещаний полного контроля над чужим восприятием.</w:t>
      </w:r>
    </w:p>
    <w:p w14:paraId="70DC2AB0" w14:textId="77777777" w:rsidR="00660A68" w:rsidRDefault="00000000">
      <w:r>
        <w:t>Курс строится как последовательность «диагностика — стратегия — инструменты — оценка». Внешний облик, речь, поведение и цифровые материалы рассматриваются как согласованные средства решения определенной задачи. Смена фотографии сама по себе не подтверждает изменения отношения аудитории: для этого понадобятся отдельные наблюдения.</w:t>
      </w:r>
    </w:p>
    <w:p w14:paraId="495E994C" w14:textId="77777777" w:rsidR="00660A68"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Главный вопрос дисциплины: какие качества важно достоверно представить, кому они значимы и по каким данным можно понять, что сообщение было воспринято?</w:t>
      </w:r>
    </w:p>
    <w:p w14:paraId="4D2BE016" w14:textId="77777777" w:rsidR="00660A68" w:rsidRDefault="00000000">
      <w:r>
        <w:t>В конце каждой лекции предусмотрена самостоятельная работа. Можно анализировать себя, согласованный организационный кейс или вымышленного персонажа. Раскрытие личной информации и публикация работ в открытом доступе не являются обязательными условиями обучения.</w:t>
      </w:r>
    </w:p>
    <w:p w14:paraId="27407FEA" w14:textId="77777777" w:rsidR="00660A68" w:rsidRDefault="00000000">
      <w:pPr>
        <w:pStyle w:val="1"/>
        <w:pageBreakBefore/>
        <w:spacing w:before="0"/>
      </w:pPr>
      <w:bookmarkStart w:id="1" w:name="Section_02"/>
      <w:bookmarkEnd w:id="1"/>
      <w:r>
        <w:lastRenderedPageBreak/>
        <w:t>Имидж и близкие понятия</w:t>
      </w:r>
    </w:p>
    <w:p w14:paraId="7077F844" w14:textId="77777777" w:rsidR="00660A68" w:rsidRDefault="00000000">
      <w:r>
        <w:t>Термины этой области частично пересекаются. Поэтому для учебного анализа важнее не спор о единственном определении, а последовательное использование выбранных понятий. В исследовательском обзоре личного брендинга также проводится разграничение брендинга, управления впечатлением, образа, репутации и известности [3].</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660A68" w14:paraId="2724755F" w14:textId="77777777">
        <w:trPr>
          <w:cantSplit/>
          <w:tblHeader/>
          <w:jc w:val="center"/>
        </w:trPr>
        <w:tc>
          <w:tcPr>
            <w:tcW w:w="2272" w:type="dxa"/>
            <w:shd w:val="clear" w:color="auto" w:fill="19354A"/>
          </w:tcPr>
          <w:p w14:paraId="457C34C0" w14:textId="77777777" w:rsidR="00660A68" w:rsidRDefault="00000000">
            <w:pPr>
              <w:pStyle w:val="LectureTable"/>
              <w:keepNext/>
              <w:spacing w:after="0"/>
            </w:pPr>
            <w:r>
              <w:rPr>
                <w:b/>
                <w:color w:val="FFFFFF"/>
              </w:rPr>
              <w:t>Понятие</w:t>
            </w:r>
          </w:p>
        </w:tc>
        <w:tc>
          <w:tcPr>
            <w:tcW w:w="3030" w:type="dxa"/>
            <w:shd w:val="clear" w:color="auto" w:fill="19354A"/>
          </w:tcPr>
          <w:p w14:paraId="490080E4" w14:textId="77777777" w:rsidR="00660A68" w:rsidRDefault="00000000">
            <w:pPr>
              <w:pStyle w:val="LectureTable"/>
              <w:keepNext/>
              <w:spacing w:after="0"/>
            </w:pPr>
            <w:r>
              <w:rPr>
                <w:b/>
                <w:color w:val="FFFFFF"/>
              </w:rPr>
              <w:t>Рабочий смысл</w:t>
            </w:r>
          </w:p>
        </w:tc>
        <w:tc>
          <w:tcPr>
            <w:tcW w:w="4166" w:type="dxa"/>
            <w:shd w:val="clear" w:color="auto" w:fill="19354A"/>
          </w:tcPr>
          <w:p w14:paraId="335D8E2F" w14:textId="77777777" w:rsidR="00660A68" w:rsidRDefault="00000000">
            <w:pPr>
              <w:pStyle w:val="LectureTable"/>
              <w:keepNext/>
              <w:spacing w:after="0"/>
            </w:pPr>
            <w:r>
              <w:rPr>
                <w:b/>
                <w:color w:val="FFFFFF"/>
              </w:rPr>
              <w:t>Вопрос исследователя</w:t>
            </w:r>
          </w:p>
        </w:tc>
      </w:tr>
      <w:tr w:rsidR="00660A68" w14:paraId="1A528C6F" w14:textId="77777777">
        <w:trPr>
          <w:cantSplit/>
          <w:jc w:val="center"/>
        </w:trPr>
        <w:tc>
          <w:tcPr>
            <w:tcW w:w="2272" w:type="dxa"/>
            <w:shd w:val="clear" w:color="auto" w:fill="F0F4F6"/>
          </w:tcPr>
          <w:p w14:paraId="3CB77E40" w14:textId="77777777" w:rsidR="00660A68" w:rsidRDefault="00000000">
            <w:pPr>
              <w:pStyle w:val="LectureTable"/>
              <w:keepNext/>
              <w:spacing w:after="0"/>
            </w:pPr>
            <w:r>
              <w:t>Идентичность</w:t>
            </w:r>
          </w:p>
        </w:tc>
        <w:tc>
          <w:tcPr>
            <w:tcW w:w="3030" w:type="dxa"/>
            <w:shd w:val="clear" w:color="auto" w:fill="F0F4F6"/>
          </w:tcPr>
          <w:p w14:paraId="667334B0" w14:textId="77777777" w:rsidR="00660A68" w:rsidRDefault="00000000">
            <w:pPr>
              <w:pStyle w:val="LectureTable"/>
              <w:keepNext/>
              <w:spacing w:after="0"/>
            </w:pPr>
            <w:r>
              <w:t>Самоопределение, ценности и признаваемые роли</w:t>
            </w:r>
          </w:p>
        </w:tc>
        <w:tc>
          <w:tcPr>
            <w:tcW w:w="4166" w:type="dxa"/>
            <w:shd w:val="clear" w:color="auto" w:fill="F0F4F6"/>
          </w:tcPr>
          <w:p w14:paraId="6CB9432A" w14:textId="77777777" w:rsidR="00660A68" w:rsidRDefault="00000000">
            <w:pPr>
              <w:pStyle w:val="LectureTable"/>
              <w:keepNext/>
              <w:spacing w:after="0"/>
            </w:pPr>
            <w:r>
              <w:t>Каким субъект считает себя?</w:t>
            </w:r>
          </w:p>
        </w:tc>
      </w:tr>
      <w:tr w:rsidR="00660A68" w14:paraId="5D7D64C0" w14:textId="77777777">
        <w:trPr>
          <w:cantSplit/>
          <w:jc w:val="center"/>
        </w:trPr>
        <w:tc>
          <w:tcPr>
            <w:tcW w:w="2272" w:type="dxa"/>
            <w:shd w:val="clear" w:color="auto" w:fill="FFFFFF"/>
          </w:tcPr>
          <w:p w14:paraId="6BE240A2" w14:textId="77777777" w:rsidR="00660A68" w:rsidRDefault="00000000">
            <w:pPr>
              <w:pStyle w:val="LectureTable"/>
              <w:keepNext/>
              <w:spacing w:after="0"/>
            </w:pPr>
            <w:r>
              <w:t>Желаемый имидж</w:t>
            </w:r>
          </w:p>
        </w:tc>
        <w:tc>
          <w:tcPr>
            <w:tcW w:w="3030" w:type="dxa"/>
            <w:shd w:val="clear" w:color="auto" w:fill="FFFFFF"/>
          </w:tcPr>
          <w:p w14:paraId="61D67D89" w14:textId="77777777" w:rsidR="00660A68" w:rsidRDefault="00000000">
            <w:pPr>
              <w:pStyle w:val="LectureTable"/>
              <w:keepNext/>
              <w:spacing w:after="0"/>
            </w:pPr>
            <w:r>
              <w:t>Предполагаемое восприятие у выбранной аудитории</w:t>
            </w:r>
          </w:p>
        </w:tc>
        <w:tc>
          <w:tcPr>
            <w:tcW w:w="4166" w:type="dxa"/>
            <w:shd w:val="clear" w:color="auto" w:fill="FFFFFF"/>
          </w:tcPr>
          <w:p w14:paraId="7C9AE62E" w14:textId="77777777" w:rsidR="00660A68" w:rsidRDefault="00000000">
            <w:pPr>
              <w:pStyle w:val="LectureTable"/>
              <w:keepNext/>
              <w:spacing w:after="0"/>
            </w:pPr>
            <w:r>
              <w:t>Каким он стремится быть воспринят?</w:t>
            </w:r>
          </w:p>
        </w:tc>
      </w:tr>
      <w:tr w:rsidR="00660A68" w14:paraId="5114E567" w14:textId="77777777">
        <w:trPr>
          <w:cantSplit/>
          <w:jc w:val="center"/>
        </w:trPr>
        <w:tc>
          <w:tcPr>
            <w:tcW w:w="2272" w:type="dxa"/>
            <w:shd w:val="clear" w:color="auto" w:fill="F0F4F6"/>
          </w:tcPr>
          <w:p w14:paraId="2E8F0546" w14:textId="77777777" w:rsidR="00660A68" w:rsidRDefault="00000000">
            <w:pPr>
              <w:pStyle w:val="LectureTable"/>
              <w:keepNext/>
              <w:spacing w:after="0"/>
            </w:pPr>
            <w:r>
              <w:t>Воспринимаемый имидж</w:t>
            </w:r>
          </w:p>
        </w:tc>
        <w:tc>
          <w:tcPr>
            <w:tcW w:w="3030" w:type="dxa"/>
            <w:shd w:val="clear" w:color="auto" w:fill="F0F4F6"/>
          </w:tcPr>
          <w:p w14:paraId="3FCA1B02" w14:textId="77777777" w:rsidR="00660A68" w:rsidRDefault="00000000">
            <w:pPr>
              <w:pStyle w:val="LectureTable"/>
              <w:keepNext/>
              <w:spacing w:after="0"/>
            </w:pPr>
            <w:r>
              <w:t>Выявленные представления конкретной аудитории</w:t>
            </w:r>
          </w:p>
        </w:tc>
        <w:tc>
          <w:tcPr>
            <w:tcW w:w="4166" w:type="dxa"/>
            <w:shd w:val="clear" w:color="auto" w:fill="F0F4F6"/>
          </w:tcPr>
          <w:p w14:paraId="477AE7A1" w14:textId="77777777" w:rsidR="00660A68" w:rsidRDefault="00000000">
            <w:pPr>
              <w:pStyle w:val="LectureTable"/>
              <w:keepNext/>
              <w:spacing w:after="0"/>
            </w:pPr>
            <w:r>
              <w:t>Что фактически говорят и понимают люди?</w:t>
            </w:r>
          </w:p>
        </w:tc>
      </w:tr>
      <w:tr w:rsidR="00660A68" w14:paraId="75C92BA4" w14:textId="77777777">
        <w:trPr>
          <w:cantSplit/>
          <w:jc w:val="center"/>
        </w:trPr>
        <w:tc>
          <w:tcPr>
            <w:tcW w:w="2272" w:type="dxa"/>
            <w:shd w:val="clear" w:color="auto" w:fill="FFFFFF"/>
          </w:tcPr>
          <w:p w14:paraId="29B1790F" w14:textId="77777777" w:rsidR="00660A68" w:rsidRDefault="00000000">
            <w:pPr>
              <w:pStyle w:val="LectureTable"/>
              <w:keepNext/>
              <w:spacing w:after="0"/>
            </w:pPr>
            <w:r>
              <w:t>Репутация</w:t>
            </w:r>
          </w:p>
        </w:tc>
        <w:tc>
          <w:tcPr>
            <w:tcW w:w="3030" w:type="dxa"/>
            <w:shd w:val="clear" w:color="auto" w:fill="FFFFFF"/>
          </w:tcPr>
          <w:p w14:paraId="187E09B8" w14:textId="77777777" w:rsidR="00660A68" w:rsidRDefault="00000000">
            <w:pPr>
              <w:pStyle w:val="LectureTable"/>
              <w:keepNext/>
              <w:spacing w:after="0"/>
            </w:pPr>
            <w:r>
              <w:t>Накопленные оценки и ожидания, связанные с опытом взаимодействия</w:t>
            </w:r>
          </w:p>
        </w:tc>
        <w:tc>
          <w:tcPr>
            <w:tcW w:w="4166" w:type="dxa"/>
            <w:shd w:val="clear" w:color="auto" w:fill="FFFFFF"/>
          </w:tcPr>
          <w:p w14:paraId="3647A672" w14:textId="77777777" w:rsidR="00660A68" w:rsidRDefault="00000000">
            <w:pPr>
              <w:pStyle w:val="LectureTable"/>
              <w:keepNext/>
              <w:spacing w:after="0"/>
            </w:pPr>
            <w:r>
              <w:t>Чего ожидают от дальнейших действий?</w:t>
            </w:r>
          </w:p>
        </w:tc>
      </w:tr>
      <w:tr w:rsidR="00660A68" w14:paraId="7A852DF0" w14:textId="77777777">
        <w:trPr>
          <w:cantSplit/>
          <w:jc w:val="center"/>
        </w:trPr>
        <w:tc>
          <w:tcPr>
            <w:tcW w:w="2272" w:type="dxa"/>
            <w:shd w:val="clear" w:color="auto" w:fill="F0F4F6"/>
          </w:tcPr>
          <w:p w14:paraId="419C36AD" w14:textId="77777777" w:rsidR="00660A68" w:rsidRDefault="00000000">
            <w:pPr>
              <w:pStyle w:val="LectureTable"/>
              <w:spacing w:after="0"/>
            </w:pPr>
            <w:r>
              <w:t>Личный бренд</w:t>
            </w:r>
          </w:p>
        </w:tc>
        <w:tc>
          <w:tcPr>
            <w:tcW w:w="3030" w:type="dxa"/>
            <w:shd w:val="clear" w:color="auto" w:fill="F0F4F6"/>
          </w:tcPr>
          <w:p w14:paraId="20EA6DAE" w14:textId="77777777" w:rsidR="00660A68" w:rsidRDefault="00000000">
            <w:pPr>
              <w:pStyle w:val="LectureTable"/>
              <w:spacing w:after="0"/>
            </w:pPr>
            <w:r>
              <w:t>Стратегически развиваемое профессиональное позиционирование</w:t>
            </w:r>
          </w:p>
        </w:tc>
        <w:tc>
          <w:tcPr>
            <w:tcW w:w="4166" w:type="dxa"/>
            <w:shd w:val="clear" w:color="auto" w:fill="F0F4F6"/>
          </w:tcPr>
          <w:p w14:paraId="5C7E7617" w14:textId="77777777" w:rsidR="00660A68" w:rsidRDefault="00000000">
            <w:pPr>
              <w:pStyle w:val="LectureTable"/>
              <w:spacing w:after="0"/>
            </w:pPr>
            <w:r>
              <w:t>С какой ценностью связывают специалиста?</w:t>
            </w:r>
          </w:p>
        </w:tc>
      </w:tr>
    </w:tbl>
    <w:p w14:paraId="62404B5E" w14:textId="77777777" w:rsidR="00660A68" w:rsidRDefault="00660A68">
      <w:pPr>
        <w:spacing w:after="0" w:line="120" w:lineRule="exact"/>
      </w:pPr>
    </w:p>
    <w:p w14:paraId="579846AA" w14:textId="77777777" w:rsidR="00660A68" w:rsidRDefault="00000000">
      <w:r>
        <w:t>Известность отвечает прежде всего на вопрос узнавания. Человек может быть широко известен, но вызывать разные оценки. Поэтому число упоминаний нельзя автоматически называть положительной репутацией. Аналогично привлекательное визуальное оформление не доказывает профессиональную компетентность: это разные объекты проверки.</w:t>
      </w:r>
    </w:p>
    <w:p w14:paraId="07DBC8B8" w14:textId="77777777" w:rsidR="00660A68" w:rsidRDefault="00000000">
      <w:r>
        <w:t>Для разграничения полезен пример. «Я внимателен к деталям» — заявление об идентичности. «Хочу, чтобы клиенты считали меня точным» — желаемый имидж. «В пяти интервью клиенты отметили понятные отчеты» — данные о восприятии. «При повторном обращении ожидают отчет без ошибок» — репутационное ожидание.</w:t>
      </w:r>
    </w:p>
    <w:p w14:paraId="15AFEFF9" w14:textId="77777777" w:rsidR="00660A68" w:rsidRDefault="00000000">
      <w:r>
        <w:t>В отчете эти уровни записывают отдельно. Иначе легко принять намерение заказчика за уже достигнутый результат. Особенно внимательно следует относиться к фразе «у нас имидж надежного партнера»: она требует уточнения аудитории, периода, метода и источника сведений.</w:t>
      </w:r>
    </w:p>
    <w:p w14:paraId="1995CE9E" w14:textId="77777777" w:rsidR="00660A68" w:rsidRDefault="00000000">
      <w:pPr>
        <w:pStyle w:val="1"/>
        <w:pageBreakBefore/>
        <w:spacing w:before="0"/>
      </w:pPr>
      <w:bookmarkStart w:id="2" w:name="Section_03"/>
      <w:bookmarkEnd w:id="2"/>
      <w:r>
        <w:lastRenderedPageBreak/>
        <w:t>Теоретические основания: от самопрезентации к проектированию</w:t>
      </w:r>
    </w:p>
    <w:p w14:paraId="23244EDA" w14:textId="77777777" w:rsidR="00660A68" w:rsidRDefault="00000000">
      <w:r>
        <w:t>Один из классических подходов связан с драматургической перспективой Э. Гофмана: социальное взаимодействие анализируется через представление себя перед другими, роли и организацию ситуации [1]. Для нашего курса это не утверждение, что общение обязательно является обманом. Это способ увидеть, как человек отбирает информацию и регулирует поведение в зависимости от контекста.</w:t>
      </w:r>
    </w:p>
    <w:p w14:paraId="42F1D7AA" w14:textId="77777777" w:rsidR="00660A68" w:rsidRDefault="00000000">
      <w:r>
        <w:t>М. Лири и Р. Ковальски разделяют мотивацию управления впечатлением и конструирование впечатления [2]. Первое направление помогает спросить, почему определенное восприятие важно субъекту. Второе — каким образом он старается его сформировать. Это различие полезно, потому что неясная цель не становится яснее от увеличения количества публикаций или выступлений.</w:t>
      </w:r>
    </w:p>
    <w:p w14:paraId="52EB5FC3" w14:textId="77777777" w:rsidR="00660A68" w:rsidRDefault="00000000">
      <w:pPr>
        <w:pStyle w:val="21"/>
      </w:pPr>
      <w:r>
        <w:t>Учебная интерпретация моделей</w:t>
      </w:r>
    </w:p>
    <w:p w14:paraId="2AC58EDD" w14:textId="77777777" w:rsidR="00660A68" w:rsidRDefault="00000000">
      <w:r>
        <w:t>Для анализа собеседования сначала устанавливается мотив: кандидат стремится показать способность выполнять определенные задачи. Затем рассматриваются средства: выбор примеров, объяснение решений, манера отвечать и структура портфолио. Наконец, отдельно изучается реакция интервьюера. Намерение, действие и результат здесь не совпадают автоматически.</w:t>
      </w:r>
    </w:p>
    <w:p w14:paraId="780671A6" w14:textId="77777777" w:rsidR="00660A68" w:rsidRDefault="00000000">
      <w:r>
        <w:t>В современном учебном проекте к этой логике добавляется исследовательский цикл. Студент собирает данные, формулирует проверяемое предположение, разрабатывает решение и сопоставляет его с обратной связью. Такой цикл — предлагаемый в курсе метод работы, а не самостоятельная универсальная психологическая теория.</w:t>
      </w:r>
    </w:p>
    <w:p w14:paraId="2A42E471" w14:textId="77777777" w:rsidR="00660A68" w:rsidRDefault="00000000">
      <w:r>
        <w:t>Важна и граница применимости: знания о самопрезентации не позволяют читать мысли, определять честность по фотографии или гарантировать одинаковое впечатление у всех. Теория дает язык анализа и основания для вопросов, но конкретные выводы требуют данных о ситуации.</w:t>
      </w:r>
    </w:p>
    <w:p w14:paraId="634295B2" w14:textId="77777777" w:rsidR="00660A68"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Теоретическая модель помогает объяснять и проверять предположения. Она не заменяет наблюдение и не дает права приписывать человеку скрытые качества.</w:t>
      </w:r>
    </w:p>
    <w:p w14:paraId="0C75B4EB" w14:textId="77777777" w:rsidR="00660A68" w:rsidRDefault="00000000">
      <w:pPr>
        <w:pStyle w:val="1"/>
        <w:pageBreakBefore/>
        <w:spacing w:before="0"/>
      </w:pPr>
      <w:bookmarkStart w:id="3" w:name="Section_04"/>
      <w:bookmarkEnd w:id="3"/>
      <w:r>
        <w:lastRenderedPageBreak/>
        <w:t>Объекты, аудитории и уровни имиджа</w:t>
      </w:r>
    </w:p>
    <w:p w14:paraId="1AAA5A63" w14:textId="77777777" w:rsidR="00660A68" w:rsidRDefault="00000000">
      <w:r>
        <w:t>Объектом проекта может быть начинающий специалист, руководитель, эксперт, организация, профессиональное сообщество или отдельное предложение. Сначала необходимо определить границу объекта. Имидж руководителя и имидж компании взаимосвязаны, но не тождественны: отзыв о доставке товара нельзя без дополнительных оснований считать оценкой личных качеств директора.</w:t>
      </w:r>
    </w:p>
    <w:p w14:paraId="145A5897" w14:textId="77777777" w:rsidR="00660A68" w:rsidRDefault="00000000">
      <w:r>
        <w:t>Внутри одного объекта целесообразно выделять несколько уровней. Содержательный уровень связан с тем, что человек или организация действительно делает. Коммуникационный — с тем, что и как сообщает. Символический — с визуальными и языковыми признаками. Перцептивный — с тем, что аудитория в результате понимает и оценивает. Это учебная схема разложения задачи, а не диагностический тест.</w:t>
      </w:r>
    </w:p>
    <w:p w14:paraId="69055D6A" w14:textId="77777777" w:rsidR="00660A68" w:rsidRDefault="00000000">
      <w:pPr>
        <w:pStyle w:val="21"/>
      </w:pPr>
      <w:r>
        <w:t>Почему аудитория должна быть названа</w:t>
      </w:r>
    </w:p>
    <w:p w14:paraId="0DDD8D11" w14:textId="77777777" w:rsidR="00660A68" w:rsidRDefault="00000000">
      <w:r>
        <w:t>У выпускника есть работодатели, однокурсники, заказчики и преподаватели. У каждой группы могут быть собственные вопросы к одному и тому же портфолио. Работодателю важно увидеть применимые навыки, заказчику — границы услуги и порядок взаимодействия. Поэтому задача «улучшить имидж вообще» слишком широка для проверки.</w:t>
      </w:r>
    </w:p>
    <w:p w14:paraId="07798BB0" w14:textId="77777777" w:rsidR="00660A68" w:rsidRDefault="00000000">
      <w:r>
        <w:t>Дополнительно фиксируют ситуацию контакта: первое знакомство, повторное обращение, конфликт или публичное выступление. Например, краткая подпись в профиле не обязана содержать все сведения, необходимые для заключения договора. Она должна помочь аудитории понять специализацию и перейти к следующему информационному шагу.</w:t>
      </w:r>
    </w:p>
    <w:p w14:paraId="5CF08F7D" w14:textId="77777777" w:rsidR="00660A68" w:rsidRDefault="00000000">
      <w:r>
        <w:t>Полезно сформулировать рамку проекта одним предложением: «Исследуется восприятие учебной дизайн-студии потенциальными заказчиками при первом знакомстве с ее сайтом». В этой формулировке названы объект, аудитория и контекст. Далее можно определить, какие признаки и реакции действительно относятся к задаче.</w:t>
      </w:r>
    </w:p>
    <w:p w14:paraId="13BDA33A" w14:textId="77777777" w:rsidR="00660A68" w:rsidRDefault="00000000">
      <w:r>
        <w:t>При работе с реальными материалами используйте только необходимую информацию. Открытость страницы в интернете не означает, что любую личную деталь следует переносить в учебный отчет.</w:t>
      </w:r>
    </w:p>
    <w:p w14:paraId="6D2BA25D" w14:textId="77777777" w:rsidR="00660A68" w:rsidRDefault="00000000">
      <w:pPr>
        <w:pStyle w:val="1"/>
        <w:pageBreakBefore/>
        <w:spacing w:before="0"/>
      </w:pPr>
      <w:bookmarkStart w:id="4" w:name="Section_05"/>
      <w:bookmarkEnd w:id="4"/>
      <w:r>
        <w:lastRenderedPageBreak/>
        <w:t>Как возникает разрыв между намерением и восприятием</w:t>
      </w:r>
    </w:p>
    <w:p w14:paraId="3E00AFC3" w14:textId="77777777" w:rsidR="00660A68" w:rsidRDefault="00000000">
      <w:r>
        <w:t>В курсе используется аналитическая цепочка: реальные действия — доступные признаки — сообщение — интерпретация — обратная связь. На каждом переходе возможна потеря информации. Компетенция может существовать, но не быть показанной. Сообщение может быть опубликовано, но не замечено. Замеченное сообщение может быть понято иначе, чем предполагал автор.</w:t>
      </w:r>
    </w:p>
    <w:p w14:paraId="3B63ADEC" w14:textId="77777777" w:rsidR="00660A68" w:rsidRDefault="00000000">
      <w:r>
        <w:t>Рассмотрим учебную организацию, которая обещает индивидуальный подход. На сайте опубликован этот тезис, но нет описания консультаций, сроков ответа и примеров адаптации программы. Возможны как минимум две гипотезы: услуга действительно существует, но плохо объяснена; либо заявление не соответствует процессам. Эти случаи требуют разных решений.</w:t>
      </w:r>
    </w:p>
    <w:p w14:paraId="7A1407A7" w14:textId="77777777" w:rsidR="00660A68" w:rsidRDefault="00000000">
      <w:r>
        <w:t>В первом случае полезно улучшить описание и показать реальные примеры. Во втором — изменить организацию работы или ограничить обещание. Попытка решить содержательную проблему только дизайном будет скрывать причину вместо ее устранения. Это принцип принятия решений в нашем курсе, а не обещание определенного рыночного эффекта.</w:t>
      </w:r>
    </w:p>
    <w:p w14:paraId="6D769876" w14:textId="77777777" w:rsidR="00660A68" w:rsidRDefault="00000000">
      <w:pPr>
        <w:pStyle w:val="21"/>
      </w:pPr>
      <w:r>
        <w:t>Три вида учебного разрыва</w:t>
      </w:r>
    </w:p>
    <w:p w14:paraId="79C3DE60" w14:textId="77777777" w:rsidR="00660A68" w:rsidRDefault="00000000">
      <w:r>
        <w:t>Информационный разрыв означает, что важные подтверждения отсутствуют или труднодоступны. Интерпретационный возникает, когда сообщение читается не так, как предполагалось. Поведенческий связан с несогласованностью обещаний и действий. В реальной ситуации эти разрывы могут сочетаться, поэтому итоговый диагноз не следует делать по одному признаку.</w:t>
      </w:r>
    </w:p>
    <w:p w14:paraId="6A36FE49" w14:textId="77777777" w:rsidR="00660A68" w:rsidRDefault="00000000">
      <w:r>
        <w:t>Для проверки каждой гипотезы нужно подобрать наблюдение. Найдены ли примеры? Может ли аудитория объяснить услугу своими словами? Подтверждаются ли заявленные сроки журналом обращений? Такое разделение переводит разговор от «мне не нравится образ» к конкретной проблеме.</w:t>
      </w:r>
    </w:p>
    <w:p w14:paraId="5AC628A2" w14:textId="77777777" w:rsidR="00660A68"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Удачная коммуникация не заменяет качественную деятельность. Сначала выясните, не пытаетесь ли вы исправить сообщением то, что необходимо изменить в работе.</w:t>
      </w:r>
    </w:p>
    <w:p w14:paraId="7F11C130" w14:textId="77777777" w:rsidR="00660A68" w:rsidRDefault="00000000">
      <w:pPr>
        <w:pStyle w:val="1"/>
        <w:pageBreakBefore/>
        <w:spacing w:before="0"/>
      </w:pPr>
      <w:bookmarkStart w:id="5" w:name="Section_06"/>
      <w:bookmarkEnd w:id="5"/>
      <w:r>
        <w:lastRenderedPageBreak/>
        <w:t>Профессиональный процесс и распределение ролей</w:t>
      </w:r>
    </w:p>
    <w:p w14:paraId="672D55AE" w14:textId="77777777" w:rsidR="00660A68" w:rsidRDefault="00000000">
      <w:r>
        <w:t>Работа начинается с брифа — документа, фиксирующего запрос, объект, аудиторию, исходную ситуацию и ограничения. Бриф не является готовой стратегией. Заказчик может назвать симптом: «нам не доверяют» или «меня не замечают». Задача специалиста — уточнить, что именно наблюдается и какие данные подтверждают проблему.</w:t>
      </w:r>
    </w:p>
    <w:p w14:paraId="513CEF2B" w14:textId="77777777" w:rsidR="00660A68" w:rsidRDefault="00000000">
      <w:r>
        <w:t>После первичного запроса проводится аудит. Затем формулируются цель, позиционирование и набор решений. На этапе производства могут понадобиться редактор, дизайнер, фотограф, тренер по выступлениям или специалист по исследованию. Имиджмейкер не обязан заменять их всех: его ответственность — поддерживать общую логику и границы проекта.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660A68" w14:paraId="5BB39B68" w14:textId="77777777">
        <w:trPr>
          <w:cantSplit/>
          <w:tblHeader/>
          <w:jc w:val="center"/>
        </w:trPr>
        <w:tc>
          <w:tcPr>
            <w:tcW w:w="2272" w:type="dxa"/>
            <w:shd w:val="clear" w:color="auto" w:fill="19354A"/>
          </w:tcPr>
          <w:p w14:paraId="29B0213C" w14:textId="77777777" w:rsidR="00660A68" w:rsidRDefault="00000000">
            <w:pPr>
              <w:pStyle w:val="LectureTable"/>
              <w:keepNext/>
              <w:spacing w:after="0"/>
            </w:pPr>
            <w:r>
              <w:rPr>
                <w:b/>
                <w:color w:val="FFFFFF"/>
              </w:rPr>
              <w:t>Этап</w:t>
            </w:r>
          </w:p>
        </w:tc>
        <w:tc>
          <w:tcPr>
            <w:tcW w:w="3030" w:type="dxa"/>
            <w:shd w:val="clear" w:color="auto" w:fill="19354A"/>
          </w:tcPr>
          <w:p w14:paraId="64F7C1C1" w14:textId="77777777" w:rsidR="00660A68" w:rsidRDefault="00000000">
            <w:pPr>
              <w:pStyle w:val="LectureTable"/>
              <w:keepNext/>
              <w:spacing w:after="0"/>
            </w:pPr>
            <w:r>
              <w:rPr>
                <w:b/>
                <w:color w:val="FFFFFF"/>
              </w:rPr>
              <w:t>Основной результат</w:t>
            </w:r>
          </w:p>
        </w:tc>
        <w:tc>
          <w:tcPr>
            <w:tcW w:w="4166" w:type="dxa"/>
            <w:shd w:val="clear" w:color="auto" w:fill="19354A"/>
          </w:tcPr>
          <w:p w14:paraId="0FD0E37B" w14:textId="77777777" w:rsidR="00660A68" w:rsidRDefault="00000000">
            <w:pPr>
              <w:pStyle w:val="LectureTable"/>
              <w:keepNext/>
              <w:spacing w:after="0"/>
            </w:pPr>
            <w:r>
              <w:rPr>
                <w:b/>
                <w:color w:val="FFFFFF"/>
              </w:rPr>
              <w:t>Контрольный вопрос</w:t>
            </w:r>
          </w:p>
        </w:tc>
      </w:tr>
      <w:tr w:rsidR="00660A68" w14:paraId="190D1565" w14:textId="77777777">
        <w:trPr>
          <w:cantSplit/>
          <w:jc w:val="center"/>
        </w:trPr>
        <w:tc>
          <w:tcPr>
            <w:tcW w:w="2272" w:type="dxa"/>
            <w:shd w:val="clear" w:color="auto" w:fill="F0F4F6"/>
          </w:tcPr>
          <w:p w14:paraId="145DC7B1" w14:textId="77777777" w:rsidR="00660A68" w:rsidRDefault="00000000">
            <w:pPr>
              <w:pStyle w:val="LectureTable"/>
              <w:keepNext/>
              <w:spacing w:after="0"/>
            </w:pPr>
            <w:r>
              <w:t>Запрос</w:t>
            </w:r>
          </w:p>
        </w:tc>
        <w:tc>
          <w:tcPr>
            <w:tcW w:w="3030" w:type="dxa"/>
            <w:shd w:val="clear" w:color="auto" w:fill="F0F4F6"/>
          </w:tcPr>
          <w:p w14:paraId="6CC27BC8" w14:textId="77777777" w:rsidR="00660A68" w:rsidRDefault="00000000">
            <w:pPr>
              <w:pStyle w:val="LectureTable"/>
              <w:keepNext/>
              <w:spacing w:after="0"/>
            </w:pPr>
            <w:r>
              <w:t>Согласованный бриф</w:t>
            </w:r>
          </w:p>
        </w:tc>
        <w:tc>
          <w:tcPr>
            <w:tcW w:w="4166" w:type="dxa"/>
            <w:shd w:val="clear" w:color="auto" w:fill="F0F4F6"/>
          </w:tcPr>
          <w:p w14:paraId="7C13A77B" w14:textId="77777777" w:rsidR="00660A68" w:rsidRDefault="00000000">
            <w:pPr>
              <w:pStyle w:val="LectureTable"/>
              <w:keepNext/>
              <w:spacing w:after="0"/>
            </w:pPr>
            <w:r>
              <w:t>Понятно ли, какую проблему изучаем?</w:t>
            </w:r>
          </w:p>
        </w:tc>
      </w:tr>
      <w:tr w:rsidR="00660A68" w14:paraId="44EA9C16" w14:textId="77777777">
        <w:trPr>
          <w:cantSplit/>
          <w:jc w:val="center"/>
        </w:trPr>
        <w:tc>
          <w:tcPr>
            <w:tcW w:w="2272" w:type="dxa"/>
            <w:shd w:val="clear" w:color="auto" w:fill="FFFFFF"/>
          </w:tcPr>
          <w:p w14:paraId="25FA72F9" w14:textId="77777777" w:rsidR="00660A68" w:rsidRDefault="00000000">
            <w:pPr>
              <w:pStyle w:val="LectureTable"/>
              <w:keepNext/>
              <w:spacing w:after="0"/>
            </w:pPr>
            <w:r>
              <w:t>Диагностика</w:t>
            </w:r>
          </w:p>
        </w:tc>
        <w:tc>
          <w:tcPr>
            <w:tcW w:w="3030" w:type="dxa"/>
            <w:shd w:val="clear" w:color="auto" w:fill="FFFFFF"/>
          </w:tcPr>
          <w:p w14:paraId="1419858A" w14:textId="77777777" w:rsidR="00660A68" w:rsidRDefault="00000000">
            <w:pPr>
              <w:pStyle w:val="LectureTable"/>
              <w:keepNext/>
              <w:spacing w:after="0"/>
            </w:pPr>
            <w:r>
              <w:t>Данные и гипотезы</w:t>
            </w:r>
          </w:p>
        </w:tc>
        <w:tc>
          <w:tcPr>
            <w:tcW w:w="4166" w:type="dxa"/>
            <w:shd w:val="clear" w:color="auto" w:fill="FFFFFF"/>
          </w:tcPr>
          <w:p w14:paraId="3224B2C2" w14:textId="77777777" w:rsidR="00660A68" w:rsidRDefault="00000000">
            <w:pPr>
              <w:pStyle w:val="LectureTable"/>
              <w:keepNext/>
              <w:spacing w:after="0"/>
            </w:pPr>
            <w:r>
              <w:t>Отделены ли факты от оценок?</w:t>
            </w:r>
          </w:p>
        </w:tc>
      </w:tr>
      <w:tr w:rsidR="00660A68" w14:paraId="4F5A24FB" w14:textId="77777777">
        <w:trPr>
          <w:cantSplit/>
          <w:jc w:val="center"/>
        </w:trPr>
        <w:tc>
          <w:tcPr>
            <w:tcW w:w="2272" w:type="dxa"/>
            <w:shd w:val="clear" w:color="auto" w:fill="F0F4F6"/>
          </w:tcPr>
          <w:p w14:paraId="7772C923" w14:textId="77777777" w:rsidR="00660A68" w:rsidRDefault="00000000">
            <w:pPr>
              <w:pStyle w:val="LectureTable"/>
              <w:keepNext/>
              <w:spacing w:after="0"/>
            </w:pPr>
            <w:r>
              <w:t>Стратегия</w:t>
            </w:r>
          </w:p>
        </w:tc>
        <w:tc>
          <w:tcPr>
            <w:tcW w:w="3030" w:type="dxa"/>
            <w:shd w:val="clear" w:color="auto" w:fill="F0F4F6"/>
          </w:tcPr>
          <w:p w14:paraId="099B390E" w14:textId="77777777" w:rsidR="00660A68" w:rsidRDefault="00000000">
            <w:pPr>
              <w:pStyle w:val="LectureTable"/>
              <w:keepNext/>
              <w:spacing w:after="0"/>
            </w:pPr>
            <w:r>
              <w:t>Цель и обоснование решений</w:t>
            </w:r>
          </w:p>
        </w:tc>
        <w:tc>
          <w:tcPr>
            <w:tcW w:w="4166" w:type="dxa"/>
            <w:shd w:val="clear" w:color="auto" w:fill="F0F4F6"/>
          </w:tcPr>
          <w:p w14:paraId="22E892F2" w14:textId="77777777" w:rsidR="00660A68" w:rsidRDefault="00000000">
            <w:pPr>
              <w:pStyle w:val="LectureTable"/>
              <w:keepNext/>
              <w:spacing w:after="0"/>
            </w:pPr>
            <w:r>
              <w:t>Почему выбраны эти средства?</w:t>
            </w:r>
          </w:p>
        </w:tc>
      </w:tr>
      <w:tr w:rsidR="00660A68" w14:paraId="2A4E499D" w14:textId="77777777">
        <w:trPr>
          <w:cantSplit/>
          <w:jc w:val="center"/>
        </w:trPr>
        <w:tc>
          <w:tcPr>
            <w:tcW w:w="2272" w:type="dxa"/>
            <w:shd w:val="clear" w:color="auto" w:fill="FFFFFF"/>
          </w:tcPr>
          <w:p w14:paraId="50498D92" w14:textId="77777777" w:rsidR="00660A68" w:rsidRDefault="00000000">
            <w:pPr>
              <w:pStyle w:val="LectureTable"/>
              <w:keepNext/>
              <w:spacing w:after="0"/>
            </w:pPr>
            <w:r>
              <w:t>Реализация</w:t>
            </w:r>
          </w:p>
        </w:tc>
        <w:tc>
          <w:tcPr>
            <w:tcW w:w="3030" w:type="dxa"/>
            <w:shd w:val="clear" w:color="auto" w:fill="FFFFFF"/>
          </w:tcPr>
          <w:p w14:paraId="30C8F275" w14:textId="77777777" w:rsidR="00660A68" w:rsidRDefault="00000000">
            <w:pPr>
              <w:pStyle w:val="LectureTable"/>
              <w:keepNext/>
              <w:spacing w:after="0"/>
            </w:pPr>
            <w:r>
              <w:t>Материалы и изменения процессов</w:t>
            </w:r>
          </w:p>
        </w:tc>
        <w:tc>
          <w:tcPr>
            <w:tcW w:w="4166" w:type="dxa"/>
            <w:shd w:val="clear" w:color="auto" w:fill="FFFFFF"/>
          </w:tcPr>
          <w:p w14:paraId="280A32DE" w14:textId="77777777" w:rsidR="00660A68" w:rsidRDefault="00000000">
            <w:pPr>
              <w:pStyle w:val="LectureTable"/>
              <w:keepNext/>
              <w:spacing w:after="0"/>
            </w:pPr>
            <w:r>
              <w:t>Соответствуют ли они обещаниям?</w:t>
            </w:r>
          </w:p>
        </w:tc>
      </w:tr>
      <w:tr w:rsidR="00660A68" w14:paraId="12F46649" w14:textId="77777777">
        <w:trPr>
          <w:cantSplit/>
          <w:jc w:val="center"/>
        </w:trPr>
        <w:tc>
          <w:tcPr>
            <w:tcW w:w="2272" w:type="dxa"/>
            <w:shd w:val="clear" w:color="auto" w:fill="F0F4F6"/>
          </w:tcPr>
          <w:p w14:paraId="186AD325" w14:textId="77777777" w:rsidR="00660A68" w:rsidRDefault="00000000">
            <w:pPr>
              <w:pStyle w:val="LectureTable"/>
              <w:spacing w:after="0"/>
            </w:pPr>
            <w:r>
              <w:t>Оценка</w:t>
            </w:r>
          </w:p>
        </w:tc>
        <w:tc>
          <w:tcPr>
            <w:tcW w:w="3030" w:type="dxa"/>
            <w:shd w:val="clear" w:color="auto" w:fill="F0F4F6"/>
          </w:tcPr>
          <w:p w14:paraId="5532F461" w14:textId="77777777" w:rsidR="00660A68" w:rsidRDefault="00000000">
            <w:pPr>
              <w:pStyle w:val="LectureTable"/>
              <w:spacing w:after="0"/>
            </w:pPr>
            <w:r>
              <w:t>Сопоставимые наблюдения</w:t>
            </w:r>
          </w:p>
        </w:tc>
        <w:tc>
          <w:tcPr>
            <w:tcW w:w="4166" w:type="dxa"/>
            <w:shd w:val="clear" w:color="auto" w:fill="F0F4F6"/>
          </w:tcPr>
          <w:p w14:paraId="1ED60116" w14:textId="77777777" w:rsidR="00660A68" w:rsidRDefault="00000000">
            <w:pPr>
              <w:pStyle w:val="LectureTable"/>
              <w:spacing w:after="0"/>
            </w:pPr>
            <w:r>
              <w:t>Что изменилось и что осталось неизвестным?</w:t>
            </w:r>
          </w:p>
        </w:tc>
      </w:tr>
    </w:tbl>
    <w:p w14:paraId="4504C853" w14:textId="77777777" w:rsidR="00660A68" w:rsidRDefault="00660A68">
      <w:pPr>
        <w:spacing w:after="0" w:line="120" w:lineRule="exact"/>
      </w:pPr>
    </w:p>
    <w:p w14:paraId="6385EEC5" w14:textId="77777777" w:rsidR="00660A68" w:rsidRDefault="00000000">
      <w:r>
        <w:t>Важно заранее договориться о согласовании публикаций, использовании изображений, хранении интервью и границах ответственности. Например, специалист может отвечать за текст профиля, но не за решение работодателя о приеме кандидата. Такая граница должна быть понятна обеим сторонам.</w:t>
      </w:r>
    </w:p>
    <w:p w14:paraId="2425D482" w14:textId="77777777" w:rsidR="00660A68" w:rsidRDefault="00000000">
      <w:r>
        <w:t>Профессиональный отчет показывает и отвергнутые решения. Если команда отказалась от громкого обещания из-за отсутствия подтверждений, это не недостаток проекта, а аргументированное решение. Полезно вести журнал: проблема, вариант, основание выбора, риск и способ проверки.</w:t>
      </w:r>
    </w:p>
    <w:p w14:paraId="5A564A01" w14:textId="77777777" w:rsidR="00660A68" w:rsidRDefault="00000000">
      <w:pPr>
        <w:pStyle w:val="1"/>
        <w:pageBreakBefore/>
        <w:spacing w:before="0"/>
      </w:pPr>
      <w:bookmarkStart w:id="6" w:name="Section_07"/>
      <w:bookmarkEnd w:id="6"/>
      <w:r>
        <w:lastRenderedPageBreak/>
        <w:t>Этика и критическое мышление</w:t>
      </w:r>
    </w:p>
    <w:p w14:paraId="3B61ECD8" w14:textId="77777777" w:rsidR="00660A68" w:rsidRDefault="00000000">
      <w:r>
        <w:t>Кодекс PRSA рассматривается в курсе как профессиональный ориентир: он подчеркивает точность, честность, независимость суждения и защиту конфиденциальной информации [4]. Это добровольная профессиональная рамка, а не закон, автоматически применимый в любой стране. Конкретные юридические вопросы необходимо проверять по действующим нормам соответствующей юрисдикции.</w:t>
      </w:r>
    </w:p>
    <w:p w14:paraId="36C7E433" w14:textId="77777777" w:rsidR="00660A68" w:rsidRDefault="00000000">
      <w:r>
        <w:t>Для учебной практики предлагаются четыре контрольных вопроса. Верно ли сообщение? Не пропущены ли существенные обстоятельства? Есть ли согласие на использование чужих материалов? Не создает ли оформление ложного представления об опыте, статусе или независимости оценки? Ответы следует давать до публикации, а не только после критики.</w:t>
      </w:r>
    </w:p>
    <w:p w14:paraId="2D8A482D" w14:textId="77777777" w:rsidR="00660A68" w:rsidRDefault="00000000">
      <w:pPr>
        <w:pStyle w:val="21"/>
      </w:pPr>
      <w:r>
        <w:t>Где проходит граница допустимого</w:t>
      </w:r>
    </w:p>
    <w:p w14:paraId="2CFFC369" w14:textId="77777777" w:rsidR="00660A68" w:rsidRDefault="00000000">
      <w:r>
        <w:t>Редактирование реальной биографии для ясности допустимо как учебная работа. Добавление несуществующей должности — фабрикация. Сокращение длинного отзыва возможно при сохранении смысла и согласовании. Замена критического содержания на положительное меняет свидетельство. Сгенерированное изображение может служить концепцией, но не документальным подтверждением события.</w:t>
      </w:r>
    </w:p>
    <w:p w14:paraId="6AF85D8C" w14:textId="77777777" w:rsidR="00660A68" w:rsidRDefault="00000000">
      <w:r>
        <w:t>Не следует оценивать профессиональную пригодность по телосложению, происхождению, возрасту или другим нерелевантным признакам. В заданиях обсуждаются решения: понятность текста, соответствие контексту, доказательства и уважительность взаимодействия. Внешняя привлекательность человека не становится учебным баллом.</w:t>
      </w:r>
    </w:p>
    <w:p w14:paraId="5529ABDC" w14:textId="77777777" w:rsidR="00660A68" w:rsidRDefault="00000000">
      <w:r>
        <w:t>Критическое мышление также требует проверять популярные обещания: «гарантированный образ лидера за один прием», «безошибочное чтение жестов», «одинаковое значение цвета для всех». Вместо принятия таких утверждений студент выясняет источник, метод, условия и ограничения. При отсутствии оснований утверждение не включается в профессиональную рекомендацию.</w:t>
      </w:r>
    </w:p>
    <w:p w14:paraId="3AB2F542" w14:textId="77777777" w:rsidR="00660A68"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Этичное решение сохраняет возможность аудитории самостоятельно оценивать информацию, а не подменяет эту оценку вымышленными доказательствами.</w:t>
      </w:r>
    </w:p>
    <w:p w14:paraId="7E77B2C0" w14:textId="77777777" w:rsidR="00660A68" w:rsidRDefault="00000000">
      <w:pPr>
        <w:pStyle w:val="1"/>
        <w:pageBreakBefore/>
        <w:spacing w:before="0"/>
      </w:pPr>
      <w:bookmarkStart w:id="7" w:name="Section_08"/>
      <w:bookmarkEnd w:id="7"/>
      <w:r>
        <w:lastRenderedPageBreak/>
        <w:t>Учебный кейс: «Портфолио без объяснения»</w:t>
      </w:r>
    </w:p>
    <w:p w14:paraId="51115E6B" w14:textId="77777777" w:rsidR="00660A68" w:rsidRDefault="00000000">
      <w:r>
        <w:t>Все персонажи и сведения кейса вымышлены. Выпускница Алина ищет стажировку в отделе коммуникаций. В ее профиле написано «Эксперт по продвижению», размещены шесть иллюстраций и перечень программ. В учебных проектах она действительно проводила интервью, редактировала тексты и готовила отчеты, но эти действия нигде не описаны.</w:t>
      </w:r>
    </w:p>
    <w:p w14:paraId="226013A7" w14:textId="77777777" w:rsidR="00660A68" w:rsidRDefault="00000000">
      <w:r>
        <w:t>Три участника учебного просмотра дали разные комментарии: «Красивое оформление», «Не понимаю, какую работу выполняла автор», «Вероятно, опытный фрилансер». Эти высказывания не являются репрезентативным исследованием работодателей. Они показывают возможные направления для дальнейшей проверки.</w:t>
      </w:r>
    </w:p>
    <w:p w14:paraId="5ADEACE8" w14:textId="77777777" w:rsidR="00660A68" w:rsidRDefault="00000000">
      <w:pPr>
        <w:pStyle w:val="21"/>
      </w:pPr>
      <w:r>
        <w:t>Последовательность разбора</w:t>
      </w:r>
    </w:p>
    <w:p w14:paraId="2B9C25D0" w14:textId="77777777" w:rsidR="00660A68" w:rsidRDefault="00000000">
      <w:r>
        <w:t>Сначала фиксируем факты: есть шесть изображений; личный вклад не описан; заголовок содержит слово «эксперт». Затем отделяем интерпретации: один наблюдатель предположил большой опыт. Нельзя заключать, что все работодатели думают так же или что сама Алина намеревалась кого-то обмануть.</w:t>
      </w:r>
    </w:p>
    <w:p w14:paraId="206354C3" w14:textId="77777777" w:rsidR="00660A68" w:rsidRDefault="00000000">
      <w:r>
        <w:t>Предварительный диагноз состоит из двух гипотез. Первая: материалы недостаточно объясняют применимые навыки. Вторая: заголовок создает ожидание опыта, которое не подтверждается содержанием. Для проверки предлагается попросить представителей целевой аудитории назвать предполагаемую специализацию, уровень опыта и основания своих ответов.</w:t>
      </w:r>
    </w:p>
    <w:p w14:paraId="1DB77929" w14:textId="77777777" w:rsidR="00660A68" w:rsidRDefault="00000000">
      <w:r>
        <w:t>Решение: заменить заголовок на точное описание роли, добавить к двум проектам задачу, действия, вклад и ограничения. Например: «Начинающий специалист по коммуникациям. Учебные проекты: интервью с пользователями, редактирование материалов, подготовка аналитических записок».</w:t>
      </w:r>
    </w:p>
    <w:p w14:paraId="22AFD5D7" w14:textId="77777777" w:rsidR="00660A68" w:rsidRDefault="00000000">
      <w:r>
        <w:t>После доработки оцениваем не только предпочтение оформления, но и понимание специализации. Даже улучшение ответов небольшой тестовой группы не позволяет обещать трудоустройство. Оно дает более узкий вывод: выбранные материалы стали понятнее участникам данного просмотра.</w:t>
      </w:r>
    </w:p>
    <w:p w14:paraId="4EAB5892" w14:textId="77777777" w:rsidR="00660A68" w:rsidRDefault="00000000">
      <w:pPr>
        <w:pStyle w:val="1"/>
        <w:pageBreakBefore/>
        <w:spacing w:before="0"/>
      </w:pPr>
      <w:bookmarkStart w:id="8" w:name="Section_09"/>
      <w:bookmarkEnd w:id="8"/>
      <w:r>
        <w:lastRenderedPageBreak/>
        <w:t>Самостоятельная работа: паспорт проекта</w:t>
      </w:r>
    </w:p>
    <w:p w14:paraId="1E71AD1C" w14:textId="77777777" w:rsidR="00660A68" w:rsidRDefault="00000000">
      <w:r>
        <w:t>Подготовьте паспорт объекта объемом 600–800 слов. Выберите реальную организацию с открытыми материалами, себя или вымышленного начинающего специалиста. Для анализа другого частного лица получите согласие; при его отсутствии используйте обезличенный учебный образ. Не собирайте сведения, не связанные с профессиональной задачей.</w:t>
      </w:r>
    </w:p>
    <w:p w14:paraId="0A0ADD5F" w14:textId="77777777" w:rsidR="00660A68" w:rsidRDefault="00000000">
      <w:r>
        <w:t>В первой части опишите объект и ситуацию контакта. Во второй назовите приоритетную аудиторию и ее предполагаемый вопрос. В третьей приведите пять доступных фактов, три сообщения объекта о себе и три возможные интерпретации. Если интерпретации еще не исследованы, прямо обозначьте их как гипотезы, а не мнение аудитории.</w:t>
      </w:r>
    </w:p>
    <w:p w14:paraId="5DDB42F4" w14:textId="77777777" w:rsidR="00660A68" w:rsidRDefault="00000000">
      <w:r>
        <w:t>Затем сформулируйте проблему и первоначальный способ проверки. Не пишите «плохой имидж»: уточните, что именно непонятно, кому и на каком этапе взаимодействия. Завершите паспорт ограничениями — доступом к данным, конфиденциальностью и тем, какие результаты проект не сможет установить.</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660A68" w14:paraId="3BEB8453" w14:textId="77777777">
        <w:trPr>
          <w:cantSplit/>
          <w:tblHeader/>
          <w:jc w:val="center"/>
        </w:trPr>
        <w:tc>
          <w:tcPr>
            <w:tcW w:w="2272" w:type="dxa"/>
            <w:shd w:val="clear" w:color="auto" w:fill="19354A"/>
          </w:tcPr>
          <w:p w14:paraId="3FA46262" w14:textId="77777777" w:rsidR="00660A68" w:rsidRDefault="00000000">
            <w:pPr>
              <w:pStyle w:val="LectureTable"/>
              <w:keepNext/>
              <w:spacing w:after="0"/>
            </w:pPr>
            <w:r>
              <w:rPr>
                <w:b/>
                <w:color w:val="FFFFFF"/>
              </w:rPr>
              <w:t>Критерий</w:t>
            </w:r>
          </w:p>
        </w:tc>
        <w:tc>
          <w:tcPr>
            <w:tcW w:w="3030" w:type="dxa"/>
            <w:shd w:val="clear" w:color="auto" w:fill="19354A"/>
          </w:tcPr>
          <w:p w14:paraId="205F17FB" w14:textId="77777777" w:rsidR="00660A68" w:rsidRDefault="00000000">
            <w:pPr>
              <w:pStyle w:val="LectureTable"/>
              <w:keepNext/>
              <w:spacing w:after="0"/>
            </w:pPr>
            <w:r>
              <w:rPr>
                <w:b/>
                <w:color w:val="FFFFFF"/>
              </w:rPr>
              <w:t>Максимум</w:t>
            </w:r>
          </w:p>
        </w:tc>
        <w:tc>
          <w:tcPr>
            <w:tcW w:w="4166" w:type="dxa"/>
            <w:shd w:val="clear" w:color="auto" w:fill="19354A"/>
          </w:tcPr>
          <w:p w14:paraId="7B27AB82" w14:textId="77777777" w:rsidR="00660A68" w:rsidRDefault="00000000">
            <w:pPr>
              <w:pStyle w:val="LectureTable"/>
              <w:keepNext/>
              <w:spacing w:after="0"/>
            </w:pPr>
            <w:r>
              <w:rPr>
                <w:b/>
                <w:color w:val="FFFFFF"/>
              </w:rPr>
              <w:t>Признак качественного выполнения</w:t>
            </w:r>
          </w:p>
        </w:tc>
      </w:tr>
      <w:tr w:rsidR="00660A68" w14:paraId="083776A7" w14:textId="77777777">
        <w:trPr>
          <w:cantSplit/>
          <w:jc w:val="center"/>
        </w:trPr>
        <w:tc>
          <w:tcPr>
            <w:tcW w:w="2272" w:type="dxa"/>
            <w:shd w:val="clear" w:color="auto" w:fill="F0F4F6"/>
          </w:tcPr>
          <w:p w14:paraId="554045C8" w14:textId="77777777" w:rsidR="00660A68" w:rsidRDefault="00000000">
            <w:pPr>
              <w:pStyle w:val="LectureTable"/>
              <w:keepNext/>
              <w:spacing w:after="0"/>
            </w:pPr>
            <w:r>
              <w:t>Рамка проекта</w:t>
            </w:r>
          </w:p>
        </w:tc>
        <w:tc>
          <w:tcPr>
            <w:tcW w:w="3030" w:type="dxa"/>
            <w:shd w:val="clear" w:color="auto" w:fill="F0F4F6"/>
          </w:tcPr>
          <w:p w14:paraId="1DC1FD7F" w14:textId="77777777" w:rsidR="00660A68" w:rsidRDefault="00000000">
            <w:pPr>
              <w:pStyle w:val="LectureTable"/>
              <w:keepNext/>
              <w:spacing w:after="0"/>
            </w:pPr>
            <w:r>
              <w:t>2</w:t>
            </w:r>
          </w:p>
        </w:tc>
        <w:tc>
          <w:tcPr>
            <w:tcW w:w="4166" w:type="dxa"/>
            <w:shd w:val="clear" w:color="auto" w:fill="F0F4F6"/>
          </w:tcPr>
          <w:p w14:paraId="3626C3EF" w14:textId="77777777" w:rsidR="00660A68" w:rsidRDefault="00000000">
            <w:pPr>
              <w:pStyle w:val="LectureTable"/>
              <w:keepNext/>
              <w:spacing w:after="0"/>
            </w:pPr>
            <w:r>
              <w:t>Названы объект, аудитория и ситуация</w:t>
            </w:r>
          </w:p>
        </w:tc>
      </w:tr>
      <w:tr w:rsidR="00660A68" w14:paraId="56B4E53F" w14:textId="77777777">
        <w:trPr>
          <w:cantSplit/>
          <w:jc w:val="center"/>
        </w:trPr>
        <w:tc>
          <w:tcPr>
            <w:tcW w:w="2272" w:type="dxa"/>
            <w:shd w:val="clear" w:color="auto" w:fill="FFFFFF"/>
          </w:tcPr>
          <w:p w14:paraId="52CF9B71" w14:textId="77777777" w:rsidR="00660A68" w:rsidRDefault="00000000">
            <w:pPr>
              <w:pStyle w:val="LectureTable"/>
              <w:keepNext/>
              <w:spacing w:after="0"/>
            </w:pPr>
            <w:r>
              <w:t>Качество оснований</w:t>
            </w:r>
          </w:p>
        </w:tc>
        <w:tc>
          <w:tcPr>
            <w:tcW w:w="3030" w:type="dxa"/>
            <w:shd w:val="clear" w:color="auto" w:fill="FFFFFF"/>
          </w:tcPr>
          <w:p w14:paraId="018B0F6D" w14:textId="77777777" w:rsidR="00660A68" w:rsidRDefault="00000000">
            <w:pPr>
              <w:pStyle w:val="LectureTable"/>
              <w:keepNext/>
              <w:spacing w:after="0"/>
            </w:pPr>
            <w:r>
              <w:t>3</w:t>
            </w:r>
          </w:p>
        </w:tc>
        <w:tc>
          <w:tcPr>
            <w:tcW w:w="4166" w:type="dxa"/>
            <w:shd w:val="clear" w:color="auto" w:fill="FFFFFF"/>
          </w:tcPr>
          <w:p w14:paraId="4EDB861D" w14:textId="77777777" w:rsidR="00660A68" w:rsidRDefault="00000000">
            <w:pPr>
              <w:pStyle w:val="LectureTable"/>
              <w:keepNext/>
              <w:spacing w:after="0"/>
            </w:pPr>
            <w:r>
              <w:t>Факты отделены от сообщений и гипотез</w:t>
            </w:r>
          </w:p>
        </w:tc>
      </w:tr>
      <w:tr w:rsidR="00660A68" w14:paraId="13BB9AF4" w14:textId="77777777">
        <w:trPr>
          <w:cantSplit/>
          <w:jc w:val="center"/>
        </w:trPr>
        <w:tc>
          <w:tcPr>
            <w:tcW w:w="2272" w:type="dxa"/>
            <w:shd w:val="clear" w:color="auto" w:fill="F0F4F6"/>
          </w:tcPr>
          <w:p w14:paraId="74CB779A" w14:textId="77777777" w:rsidR="00660A68" w:rsidRDefault="00000000">
            <w:pPr>
              <w:pStyle w:val="LectureTable"/>
              <w:keepNext/>
              <w:spacing w:after="0"/>
            </w:pPr>
            <w:r>
              <w:t>Постановка проблемы</w:t>
            </w:r>
          </w:p>
        </w:tc>
        <w:tc>
          <w:tcPr>
            <w:tcW w:w="3030" w:type="dxa"/>
            <w:shd w:val="clear" w:color="auto" w:fill="F0F4F6"/>
          </w:tcPr>
          <w:p w14:paraId="3CB8475B" w14:textId="77777777" w:rsidR="00660A68" w:rsidRDefault="00000000">
            <w:pPr>
              <w:pStyle w:val="LectureTable"/>
              <w:keepNext/>
              <w:spacing w:after="0"/>
            </w:pPr>
            <w:r>
              <w:t>2</w:t>
            </w:r>
          </w:p>
        </w:tc>
        <w:tc>
          <w:tcPr>
            <w:tcW w:w="4166" w:type="dxa"/>
            <w:shd w:val="clear" w:color="auto" w:fill="F0F4F6"/>
          </w:tcPr>
          <w:p w14:paraId="04964401" w14:textId="77777777" w:rsidR="00660A68" w:rsidRDefault="00000000">
            <w:pPr>
              <w:pStyle w:val="LectureTable"/>
              <w:keepNext/>
              <w:spacing w:after="0"/>
            </w:pPr>
            <w:r>
              <w:t>Указан конкретный разрыв, а не общий ярлык</w:t>
            </w:r>
          </w:p>
        </w:tc>
      </w:tr>
      <w:tr w:rsidR="00660A68" w14:paraId="08D7D5CE" w14:textId="77777777">
        <w:trPr>
          <w:cantSplit/>
          <w:jc w:val="center"/>
        </w:trPr>
        <w:tc>
          <w:tcPr>
            <w:tcW w:w="2272" w:type="dxa"/>
            <w:shd w:val="clear" w:color="auto" w:fill="FFFFFF"/>
          </w:tcPr>
          <w:p w14:paraId="1F344C26" w14:textId="77777777" w:rsidR="00660A68" w:rsidRDefault="00000000">
            <w:pPr>
              <w:pStyle w:val="LectureTable"/>
              <w:keepNext/>
              <w:spacing w:after="0"/>
            </w:pPr>
            <w:r>
              <w:t>Проверка и ограничения</w:t>
            </w:r>
          </w:p>
        </w:tc>
        <w:tc>
          <w:tcPr>
            <w:tcW w:w="3030" w:type="dxa"/>
            <w:shd w:val="clear" w:color="auto" w:fill="FFFFFF"/>
          </w:tcPr>
          <w:p w14:paraId="345A088D" w14:textId="77777777" w:rsidR="00660A68" w:rsidRDefault="00000000">
            <w:pPr>
              <w:pStyle w:val="LectureTable"/>
              <w:keepNext/>
              <w:spacing w:after="0"/>
            </w:pPr>
            <w:r>
              <w:t>2</w:t>
            </w:r>
          </w:p>
        </w:tc>
        <w:tc>
          <w:tcPr>
            <w:tcW w:w="4166" w:type="dxa"/>
            <w:shd w:val="clear" w:color="auto" w:fill="FFFFFF"/>
          </w:tcPr>
          <w:p w14:paraId="7D06CC48" w14:textId="77777777" w:rsidR="00660A68" w:rsidRDefault="00000000">
            <w:pPr>
              <w:pStyle w:val="LectureTable"/>
              <w:keepNext/>
              <w:spacing w:after="0"/>
            </w:pPr>
            <w:r>
              <w:t>Метод соответствует вопросу</w:t>
            </w:r>
          </w:p>
        </w:tc>
      </w:tr>
      <w:tr w:rsidR="00660A68" w14:paraId="1D8517AB" w14:textId="77777777">
        <w:trPr>
          <w:cantSplit/>
          <w:jc w:val="center"/>
        </w:trPr>
        <w:tc>
          <w:tcPr>
            <w:tcW w:w="2272" w:type="dxa"/>
            <w:shd w:val="clear" w:color="auto" w:fill="F0F4F6"/>
          </w:tcPr>
          <w:p w14:paraId="5B31E5D3" w14:textId="77777777" w:rsidR="00660A68" w:rsidRDefault="00000000">
            <w:pPr>
              <w:pStyle w:val="LectureTable"/>
              <w:spacing w:after="0"/>
            </w:pPr>
            <w:r>
              <w:t>Этика</w:t>
            </w:r>
          </w:p>
        </w:tc>
        <w:tc>
          <w:tcPr>
            <w:tcW w:w="3030" w:type="dxa"/>
            <w:shd w:val="clear" w:color="auto" w:fill="F0F4F6"/>
          </w:tcPr>
          <w:p w14:paraId="244AAD04" w14:textId="77777777" w:rsidR="00660A68" w:rsidRDefault="00000000">
            <w:pPr>
              <w:pStyle w:val="LectureTable"/>
              <w:spacing w:after="0"/>
            </w:pPr>
            <w:r>
              <w:t>1</w:t>
            </w:r>
          </w:p>
        </w:tc>
        <w:tc>
          <w:tcPr>
            <w:tcW w:w="4166" w:type="dxa"/>
            <w:shd w:val="clear" w:color="auto" w:fill="F0F4F6"/>
          </w:tcPr>
          <w:p w14:paraId="5FDC325E" w14:textId="77777777" w:rsidR="00660A68" w:rsidRDefault="00000000">
            <w:pPr>
              <w:pStyle w:val="LectureTable"/>
              <w:spacing w:after="0"/>
            </w:pPr>
            <w:r>
              <w:t>Нет лишних персональных сведений и вымышленных доказательств</w:t>
            </w:r>
          </w:p>
        </w:tc>
      </w:tr>
    </w:tbl>
    <w:p w14:paraId="15E9B498" w14:textId="77777777" w:rsidR="00660A68" w:rsidRDefault="00660A68">
      <w:pPr>
        <w:spacing w:after="0" w:line="120" w:lineRule="exact"/>
      </w:pPr>
    </w:p>
    <w:p w14:paraId="41C1EAE8" w14:textId="77777777" w:rsidR="00660A68" w:rsidRDefault="00000000">
      <w:r>
        <w:t>Для обсуждения на форуме опубликуйте только обезличенную постановку проблемы и один вопрос к однокурсникам. Полезная обратная связь объясняет, какие данные помогут уточнить вывод. Комментарий «сделайте красивее» недостаточен, пока не объяснено, какую задачу решит изменение.</w:t>
      </w:r>
    </w:p>
    <w:p w14:paraId="475DAF41" w14:textId="77777777" w:rsidR="00660A68" w:rsidRDefault="00000000">
      <w:r>
        <w:t>Работа сохраняется в портфолио курса. На следующих неделях паспорт будет уточняться после изучения аудитории и проведения мини-аудита. Изменение первоначальной гипотезы при появлении данных является нормальным результатом обучения.</w:t>
      </w:r>
    </w:p>
    <w:p w14:paraId="70193CCF" w14:textId="77777777" w:rsidR="00660A68" w:rsidRDefault="00000000">
      <w:pPr>
        <w:pStyle w:val="1"/>
        <w:pageBreakBefore/>
        <w:spacing w:before="0"/>
      </w:pPr>
      <w:bookmarkStart w:id="9" w:name="Section_10"/>
      <w:bookmarkEnd w:id="9"/>
      <w:r>
        <w:lastRenderedPageBreak/>
        <w:t>Самопроверка и источники</w:t>
      </w:r>
    </w:p>
    <w:p w14:paraId="133EB621" w14:textId="77777777" w:rsidR="00660A68" w:rsidRDefault="00000000">
      <w:pPr>
        <w:pStyle w:val="21"/>
      </w:pPr>
      <w:r>
        <w:t>Проверьте понимание</w:t>
      </w:r>
    </w:p>
    <w:p w14:paraId="67DDDD3D" w14:textId="77777777" w:rsidR="00660A68" w:rsidRDefault="00000000">
      <w:r>
        <w:t>1. Чем фраза «хочу выглядеть надежным» отличается от вывода «участники считают меня надежным»? 2. Почему узнаваемость не является достаточным показателем репутации? 3. Что проверять, если организация обещает индивидуальный подход, но не описывает его? 4. Какой результат имиджмейкер не вправе гарантировать: качество подготовленного текста или решение аудитории? Объясните основания.</w:t>
      </w:r>
    </w:p>
    <w:p w14:paraId="457D516A" w14:textId="77777777" w:rsidR="00660A68" w:rsidRDefault="00000000">
      <w:pPr>
        <w:pStyle w:val="21"/>
      </w:pPr>
      <w:r>
        <w:t>Ответы-ориентиры</w:t>
      </w:r>
    </w:p>
    <w:p w14:paraId="73A92AB1" w14:textId="77777777" w:rsidR="00660A68" w:rsidRDefault="00000000">
      <w:r>
        <w:t>В первом случае зафиксирована цель, во втором необходимы данные о восприятии. Узнаваемость показывает знакомство с объектом, но не содержание оценки. Необходимо проверить и реальное существование услуги, и доступность информации о ней. Исполнитель может согласовать требования к материалу, но не полностью управляет самостоятельным решением другого человека.</w:t>
      </w:r>
    </w:p>
    <w:p w14:paraId="3BD7CAAD" w14:textId="77777777" w:rsidR="00660A68" w:rsidRDefault="00000000">
      <w:pPr>
        <w:pStyle w:val="21"/>
      </w:pPr>
      <w:r>
        <w:t>Итог лекции</w:t>
      </w:r>
    </w:p>
    <w:p w14:paraId="60872AC8" w14:textId="77777777" w:rsidR="00660A68" w:rsidRDefault="00000000">
      <w:r>
        <w:t>Имиджмейкерство соединяет исследование восприятия и проектирование коммуникации. Его исходная единица — конкретная задача в определенной ситуации, а не абстрактная привлекательность. Качественный проект связывает утверждения с доказательствами, выбирает средства после диагностики и обозначает границы выводов.</w:t>
      </w:r>
    </w:p>
    <w:p w14:paraId="3C8135FD" w14:textId="77777777" w:rsidR="00660A68" w:rsidRDefault="00000000">
      <w:pPr>
        <w:pStyle w:val="21"/>
      </w:pPr>
      <w:r>
        <w:t>Ключевые термины</w:t>
      </w:r>
    </w:p>
    <w:p w14:paraId="44010400" w14:textId="77777777" w:rsidR="00660A68" w:rsidRDefault="00000000">
      <w:r>
        <w:t>Имидж — воспринимаемый образ; идентичность — самоопределение; репутация — накопленные оценки и ожидания; аудит — систематизированное изучение исходной ситуации; бриф — согласованная постановка задачи; гипотеза — предположение, требующее проверки.</w:t>
      </w:r>
    </w:p>
    <w:p w14:paraId="76034CB6" w14:textId="77777777" w:rsidR="00660A68" w:rsidRPr="007072EB" w:rsidRDefault="00000000">
      <w:pPr>
        <w:pStyle w:val="21"/>
        <w:rPr>
          <w:lang w:val="en-US"/>
        </w:rPr>
      </w:pPr>
      <w:r>
        <w:t>Источники</w:t>
      </w:r>
      <w:r w:rsidRPr="007072EB">
        <w:rPr>
          <w:lang w:val="en-US"/>
        </w:rPr>
        <w:t xml:space="preserve"> </w:t>
      </w:r>
      <w:r>
        <w:t>и</w:t>
      </w:r>
      <w:r w:rsidRPr="007072EB">
        <w:rPr>
          <w:lang w:val="en-US"/>
        </w:rPr>
        <w:t xml:space="preserve"> </w:t>
      </w:r>
      <w:r>
        <w:t>дальнейшее</w:t>
      </w:r>
      <w:r w:rsidRPr="007072EB">
        <w:rPr>
          <w:lang w:val="en-US"/>
        </w:rPr>
        <w:t xml:space="preserve"> </w:t>
      </w:r>
      <w:r>
        <w:t>чтение</w:t>
      </w:r>
    </w:p>
    <w:p w14:paraId="77A2E4B7" w14:textId="77777777" w:rsidR="00660A68" w:rsidRPr="007072EB" w:rsidRDefault="00000000">
      <w:pPr>
        <w:pStyle w:val="LectureReference"/>
        <w:rPr>
          <w:lang w:val="en-US"/>
        </w:rPr>
      </w:pPr>
      <w:r w:rsidRPr="007072EB">
        <w:rPr>
          <w:lang w:val="en-US"/>
        </w:rPr>
        <w:t>[1] Goffman E. The Presentation of Self in Everyday Life. New York: Anchor Books, 1959.</w:t>
      </w:r>
    </w:p>
    <w:p w14:paraId="3F2D3166" w14:textId="77777777" w:rsidR="00660A68" w:rsidRPr="007072EB" w:rsidRDefault="00000000">
      <w:pPr>
        <w:pStyle w:val="LectureReference"/>
        <w:rPr>
          <w:lang w:val="en-US"/>
        </w:rPr>
      </w:pPr>
      <w:r w:rsidRPr="007072EB">
        <w:rPr>
          <w:lang w:val="en-US"/>
        </w:rPr>
        <w:t xml:space="preserve">[2] Leary M. R., Kowalski R. M. Impression Management: A Literature Review and Two-Component Model. Psychological Bulletin. 1990. Vol. 107(1). P. 34–47. </w:t>
      </w:r>
      <w:hyperlink r:id="rId8" w:history="1">
        <w:r>
          <w:rPr>
            <w:color w:val="176B72"/>
            <w:u w:val="single"/>
          </w:rPr>
          <w:t>Перейти</w:t>
        </w:r>
        <w:r w:rsidRPr="007072EB">
          <w:rPr>
            <w:color w:val="176B72"/>
            <w:u w:val="single"/>
            <w:lang w:val="en-US"/>
          </w:rPr>
          <w:t xml:space="preserve"> </w:t>
        </w:r>
        <w:r>
          <w:rPr>
            <w:color w:val="176B72"/>
            <w:u w:val="single"/>
          </w:rPr>
          <w:t>к</w:t>
        </w:r>
        <w:r w:rsidRPr="007072EB">
          <w:rPr>
            <w:color w:val="176B72"/>
            <w:u w:val="single"/>
            <w:lang w:val="en-US"/>
          </w:rPr>
          <w:t xml:space="preserve"> </w:t>
        </w:r>
        <w:r>
          <w:rPr>
            <w:color w:val="176B72"/>
            <w:u w:val="single"/>
          </w:rPr>
          <w:t>источнику</w:t>
        </w:r>
      </w:hyperlink>
      <w:r w:rsidRPr="007072EB">
        <w:rPr>
          <w:lang w:val="en-US"/>
        </w:rPr>
        <w:t>.</w:t>
      </w:r>
    </w:p>
    <w:p w14:paraId="43CCE5B4" w14:textId="77777777" w:rsidR="00660A68" w:rsidRPr="007072EB" w:rsidRDefault="00000000">
      <w:pPr>
        <w:pStyle w:val="LectureReference"/>
        <w:rPr>
          <w:lang w:val="en-US"/>
        </w:rPr>
      </w:pPr>
      <w:r w:rsidRPr="007072EB">
        <w:rPr>
          <w:lang w:val="en-US"/>
        </w:rPr>
        <w:t xml:space="preserve">[3] Gorbatov S., Khapova S. N., Lysova E. I. Personal Branding: Interdisciplinary Systematic Review and Research Agenda. Frontiers in Psychology. 2018. Vol. 9. Article 2238. </w:t>
      </w:r>
      <w:hyperlink r:id="rId9" w:history="1">
        <w:r>
          <w:rPr>
            <w:color w:val="176B72"/>
            <w:u w:val="single"/>
          </w:rPr>
          <w:t>Перейти</w:t>
        </w:r>
        <w:r w:rsidRPr="007072EB">
          <w:rPr>
            <w:color w:val="176B72"/>
            <w:u w:val="single"/>
            <w:lang w:val="en-US"/>
          </w:rPr>
          <w:t xml:space="preserve"> </w:t>
        </w:r>
        <w:r>
          <w:rPr>
            <w:color w:val="176B72"/>
            <w:u w:val="single"/>
          </w:rPr>
          <w:t>к</w:t>
        </w:r>
        <w:r w:rsidRPr="007072EB">
          <w:rPr>
            <w:color w:val="176B72"/>
            <w:u w:val="single"/>
            <w:lang w:val="en-US"/>
          </w:rPr>
          <w:t xml:space="preserve"> </w:t>
        </w:r>
        <w:r>
          <w:rPr>
            <w:color w:val="176B72"/>
            <w:u w:val="single"/>
          </w:rPr>
          <w:t>источнику</w:t>
        </w:r>
      </w:hyperlink>
      <w:r w:rsidRPr="007072EB">
        <w:rPr>
          <w:lang w:val="en-US"/>
        </w:rPr>
        <w:t>.</w:t>
      </w:r>
    </w:p>
    <w:p w14:paraId="26950774" w14:textId="77777777" w:rsidR="00660A68" w:rsidRDefault="00000000">
      <w:pPr>
        <w:pStyle w:val="LectureReference"/>
      </w:pPr>
      <w:r w:rsidRPr="007072EB">
        <w:rPr>
          <w:lang w:val="en-US"/>
        </w:rPr>
        <w:t xml:space="preserve">[4] PRSA. Code of Ethics. </w:t>
      </w:r>
      <w:r>
        <w:t xml:space="preserve">Профессиональный этический кодекс; не заменяет применимое законодательство. </w:t>
      </w:r>
      <w:hyperlink r:id="rId10" w:history="1">
        <w:r>
          <w:rPr>
            <w:color w:val="176B72"/>
            <w:u w:val="single"/>
          </w:rPr>
          <w:t>Перейти к источнику</w:t>
        </w:r>
      </w:hyperlink>
      <w:r>
        <w:t>.</w:t>
      </w:r>
    </w:p>
    <w:p w14:paraId="3E4BB78B" w14:textId="77777777" w:rsidR="00660A68"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660A68" w:rsidSect="00034616">
      <w:headerReference w:type="default" r:id="rId11"/>
      <w:footerReference w:type="default" r:id="rId12"/>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0CAE" w14:textId="77777777" w:rsidR="00050B52" w:rsidRDefault="00050B52">
      <w:pPr>
        <w:spacing w:after="0" w:line="240" w:lineRule="auto"/>
      </w:pPr>
      <w:r>
        <w:separator/>
      </w:r>
    </w:p>
  </w:endnote>
  <w:endnote w:type="continuationSeparator" w:id="0">
    <w:p w14:paraId="0B1D4A62" w14:textId="77777777" w:rsidR="00050B52" w:rsidRDefault="00050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438" w14:textId="3DCFAD23" w:rsidR="00660A68"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CC1A0" w14:textId="77777777" w:rsidR="00050B52" w:rsidRDefault="00050B52">
      <w:pPr>
        <w:spacing w:after="0" w:line="240" w:lineRule="auto"/>
      </w:pPr>
      <w:r>
        <w:separator/>
      </w:r>
    </w:p>
  </w:footnote>
  <w:footnote w:type="continuationSeparator" w:id="0">
    <w:p w14:paraId="265AB4AB" w14:textId="77777777" w:rsidR="00050B52" w:rsidRDefault="00050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3672" w14:textId="528270FB" w:rsidR="00660A68"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01</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50996037">
    <w:abstractNumId w:val="8"/>
  </w:num>
  <w:num w:numId="2" w16cid:durableId="1901476141">
    <w:abstractNumId w:val="6"/>
  </w:num>
  <w:num w:numId="3" w16cid:durableId="421491737">
    <w:abstractNumId w:val="5"/>
  </w:num>
  <w:num w:numId="4" w16cid:durableId="262227519">
    <w:abstractNumId w:val="4"/>
  </w:num>
  <w:num w:numId="5" w16cid:durableId="1468087809">
    <w:abstractNumId w:val="7"/>
  </w:num>
  <w:num w:numId="6" w16cid:durableId="1235045957">
    <w:abstractNumId w:val="3"/>
  </w:num>
  <w:num w:numId="7" w16cid:durableId="370423207">
    <w:abstractNumId w:val="2"/>
  </w:num>
  <w:num w:numId="8" w16cid:durableId="2046444863">
    <w:abstractNumId w:val="1"/>
  </w:num>
  <w:num w:numId="9" w16cid:durableId="2099016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0B52"/>
    <w:rsid w:val="0006063C"/>
    <w:rsid w:val="0015074B"/>
    <w:rsid w:val="0029639D"/>
    <w:rsid w:val="00326F90"/>
    <w:rsid w:val="00660A68"/>
    <w:rsid w:val="007072EB"/>
    <w:rsid w:val="00AA1D8D"/>
    <w:rsid w:val="00B47730"/>
    <w:rsid w:val="00CB0664"/>
    <w:rsid w:val="00D648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BF0264"/>
  <w14:defaultImageDpi w14:val="300"/>
  <w15:docId w15:val="{B67E560C-F872-437D-954C-4AF3DA42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33-2909.107.1.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rsa.org/professional-development/prsa-resources/ethics" TargetMode="External"/><Relationship Id="rId4" Type="http://schemas.openxmlformats.org/officeDocument/2006/relationships/settings" Target="settings.xml"/><Relationship Id="rId9" Type="http://schemas.openxmlformats.org/officeDocument/2006/relationships/hyperlink" Target="https://doi.org/10.3389/fpsyg.2018.022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2856</Words>
  <Characters>16283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 в имиджмейкерство</dc:title>
  <dc:subject>Имиджмейкерство. Лекция 01.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2026-09-27T19:46:00Z</dcterms:modified>
  <cp:category/>
</cp:coreProperties>
</file>