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2F7" w:rsidRPr="00A502F7" w:rsidRDefault="00A502F7" w:rsidP="00A502F7">
      <w:pPr>
        <w:numPr>
          <w:ilvl w:val="0"/>
          <w:numId w:val="1"/>
        </w:numPr>
        <w:tabs>
          <w:tab w:val="left" w:pos="1120"/>
        </w:tabs>
        <w:spacing w:after="0" w:line="240" w:lineRule="auto"/>
        <w:ind w:right="-7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ПРОВЕРКА ЭЛЕКТРООБОРУДОВАНИЯ ПО УСЛОВИЯМ</w:t>
      </w:r>
    </w:p>
    <w:p w:rsidR="00A502F7" w:rsidRPr="00A502F7" w:rsidRDefault="00A502F7" w:rsidP="00A502F7">
      <w:pPr>
        <w:spacing w:after="0" w:line="240" w:lineRule="auto"/>
        <w:ind w:right="-7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8"/>
          <w:lang w:eastAsia="ru-RU"/>
        </w:rPr>
        <w:t>ЗАЗЕМЛЕНИЕ</w:t>
      </w:r>
    </w:p>
    <w:p w:rsidR="00A502F7" w:rsidRPr="00A502F7" w:rsidRDefault="00A502F7" w:rsidP="00A502F7">
      <w:pPr>
        <w:spacing w:after="0" w:line="240" w:lineRule="auto"/>
        <w:ind w:right="-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502F7" w:rsidRPr="00A502F7" w:rsidRDefault="00A502F7" w:rsidP="00A502F7">
      <w:pPr>
        <w:spacing w:after="0" w:line="240" w:lineRule="auto"/>
        <w:ind w:right="-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502F7" w:rsidRPr="00A502F7" w:rsidRDefault="00A502F7" w:rsidP="00A502F7">
      <w:pPr>
        <w:spacing w:after="0" w:line="238" w:lineRule="auto"/>
        <w:ind w:firstLine="720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При проектировании и эксплуатации системы электроснабжения предприятия одним из важнейших вопросов является вопрос о заземлении. В зависимости от системы заземления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нейтрали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выбирается защитная аппаратура, изоляция электрооборудования. </w:t>
      </w:r>
    </w:p>
    <w:p w:rsidR="00A502F7" w:rsidRPr="00A502F7" w:rsidRDefault="00A502F7" w:rsidP="00A502F7">
      <w:pPr>
        <w:spacing w:after="0" w:line="238" w:lineRule="auto"/>
        <w:ind w:firstLine="720"/>
        <w:jc w:val="both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Назначение и виды заземлений.</w:t>
      </w:r>
    </w:p>
    <w:p w:rsidR="00A502F7" w:rsidRPr="00A502F7" w:rsidRDefault="00A502F7" w:rsidP="00A502F7">
      <w:pPr>
        <w:spacing w:after="0" w:line="238" w:lineRule="auto"/>
        <w:ind w:firstLine="720"/>
        <w:jc w:val="both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Заземление какой-либо части установки называется преднамеренное соединение ее с заземляющим устройством с целью сохранения на установке низкого потенциала и обеспечения нормальной работы системы или ее элементов в выбранном для них режиме.</w:t>
      </w:r>
    </w:p>
    <w:p w:rsidR="00A502F7" w:rsidRPr="00A502F7" w:rsidRDefault="00A502F7" w:rsidP="00A502F7">
      <w:pPr>
        <w:spacing w:after="0" w:line="1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43" w:lineRule="auto"/>
        <w:ind w:left="709" w:right="4" w:hanging="4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Различают три вида заземлений: </w:t>
      </w:r>
    </w:p>
    <w:p w:rsidR="00A502F7" w:rsidRPr="00A502F7" w:rsidRDefault="00A502F7" w:rsidP="00A502F7">
      <w:pPr>
        <w:numPr>
          <w:ilvl w:val="0"/>
          <w:numId w:val="3"/>
        </w:numPr>
        <w:tabs>
          <w:tab w:val="left" w:pos="1276"/>
        </w:tabs>
        <w:spacing w:after="0" w:line="240" w:lineRule="auto"/>
        <w:ind w:right="4" w:firstLine="851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рабочее заземление,</w:t>
      </w:r>
    </w:p>
    <w:p w:rsidR="00A502F7" w:rsidRPr="00A502F7" w:rsidRDefault="00A502F7" w:rsidP="00A502F7">
      <w:pPr>
        <w:numPr>
          <w:ilvl w:val="0"/>
          <w:numId w:val="3"/>
        </w:numPr>
        <w:tabs>
          <w:tab w:val="left" w:pos="1276"/>
        </w:tabs>
        <w:spacing w:after="0" w:line="240" w:lineRule="auto"/>
        <w:ind w:right="4" w:firstLine="851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защитное заземление для безопасности людей, </w:t>
      </w:r>
    </w:p>
    <w:p w:rsidR="00A502F7" w:rsidRPr="00A502F7" w:rsidRDefault="00A502F7" w:rsidP="00A502F7">
      <w:pPr>
        <w:numPr>
          <w:ilvl w:val="0"/>
          <w:numId w:val="3"/>
        </w:numPr>
        <w:tabs>
          <w:tab w:val="left" w:pos="1276"/>
        </w:tabs>
        <w:spacing w:after="0" w:line="240" w:lineRule="auto"/>
        <w:ind w:right="4" w:firstLine="851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заземление грозозащитной установки.</w:t>
      </w:r>
    </w:p>
    <w:p w:rsidR="00A502F7" w:rsidRPr="00A502F7" w:rsidRDefault="00A502F7" w:rsidP="00A502F7">
      <w:pPr>
        <w:spacing w:after="0" w:line="234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Рабочее и защитное заземление должны выполнять свое назначение в течение всего года, тогда как заземление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грозозащиты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лишь в грозовой сезон.</w:t>
      </w:r>
      <w:bookmarkStart w:id="0" w:name="page28"/>
      <w:bookmarkEnd w:id="0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Для реализации любого вида заземления требуется заземляющее устройство, состоящее из заземлителя, располагаемого в земле и заземляющего проводника, соединяющего оборудование с заземлителем.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 рабочему заземлению относится заземление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нейтралей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силовых трансформаторов и генераторов, трансформаторов напряжения, реакторов поперечной компенсации в дальних линиях электропередачи и заземление фазы при использовании земли в качестве рабочего провода.</w:t>
      </w:r>
    </w:p>
    <w:p w:rsidR="00A502F7" w:rsidRPr="00A502F7" w:rsidRDefault="00A502F7" w:rsidP="00A502F7">
      <w:pPr>
        <w:spacing w:after="0" w:line="1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18" w:lineRule="exact"/>
        <w:ind w:firstLine="709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Заземление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грозозащиты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служит для отвода тока молнии в землю от защитных разрядников и ограничителей перенапряжения, а также стержневых или тросовых молниеотводов.</w:t>
      </w:r>
    </w:p>
    <w:p w:rsidR="00A502F7" w:rsidRPr="00A502F7" w:rsidRDefault="00A502F7" w:rsidP="00A50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Большую опасность для изоляции линий электропереда</w:t>
      </w: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softHyphen/>
        <w:t>чи имеют разряды атмосферного электричества (молнии) в опоры и провода линии, а также разряды молнии в землю вблизи трассы линии. При таких разрядах токи молнии достигают нескольких десятков тысяч ампер и на изоля</w:t>
      </w: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softHyphen/>
        <w:t>ции линии возникают кратковременные напряжения, во много раз превышающие рабочее напряжение линии электро</w:t>
      </w: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softHyphen/>
        <w:t>передачи.</w:t>
      </w:r>
    </w:p>
    <w:p w:rsidR="00A502F7" w:rsidRPr="00A502F7" w:rsidRDefault="00A502F7" w:rsidP="00A50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Для защиты линий электропередачи от повреждений при разрядах молний служат специальные устройства </w:t>
      </w:r>
      <w:proofErr w:type="spell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грозозащиты</w:t>
      </w:r>
      <w:proofErr w:type="spell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, к которым относятся грозозащитные тросы, стерж</w:t>
      </w: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softHyphen/>
        <w:t>невые молниеотводы, трубчатые разрядники и устройства заземления.</w:t>
      </w:r>
    </w:p>
    <w:p w:rsidR="00A502F7" w:rsidRPr="00A502F7" w:rsidRDefault="00A502F7" w:rsidP="00A50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Грозозащитный трос подвешивается на линиях напряжением 110 </w:t>
      </w:r>
      <w:proofErr w:type="spell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кВ</w:t>
      </w:r>
      <w:proofErr w:type="spell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 и выше, сооруженных на металлических и железобетонных опорах. На линиях 110—220 </w:t>
      </w:r>
      <w:proofErr w:type="spell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кВ</w:t>
      </w:r>
      <w:proofErr w:type="spell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 с деревянными опорами и линиях 35 </w:t>
      </w:r>
      <w:proofErr w:type="spell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кВ</w:t>
      </w:r>
      <w:proofErr w:type="spell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 трос подвешивается обычно только на подходах к подстанциям.</w:t>
      </w:r>
    </w:p>
    <w:p w:rsidR="00A502F7" w:rsidRPr="00A502F7" w:rsidRDefault="00A502F7" w:rsidP="00A50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Подвеска тросов на линиях с деревянными опорами по всей длине оказывается нецелесообразной, так как древесина опор при грозовых </w:t>
      </w: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lastRenderedPageBreak/>
        <w:t>разрядах имеет высокую электри</w:t>
      </w: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softHyphen/>
        <w:t xml:space="preserve">ческую прочность, и общая </w:t>
      </w:r>
      <w:proofErr w:type="spell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грозоупорность</w:t>
      </w:r>
      <w:proofErr w:type="spell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 таких линий оказывается достаточно большой. Подвеска же тросов на подходах к подстанциям длиной 1,5—2 км обеспечивает защиту оборудования подстанций от грозовых перенапряжений, приходящих с линии.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Подвеска тросов на линиях 35 </w:t>
      </w:r>
      <w:proofErr w:type="spell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кВ</w:t>
      </w:r>
      <w:proofErr w:type="spell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 и ниже не имеет смыс</w:t>
      </w:r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softHyphen/>
        <w:t xml:space="preserve">ла, так как изоляция этих линий при грозовых разрядах очень мала, и подвеска тросов не обеспечивает </w:t>
      </w:r>
      <w:proofErr w:type="gram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достаточной</w:t>
      </w:r>
      <w:proofErr w:type="gram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 </w:t>
      </w:r>
      <w:proofErr w:type="spellStart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грозозащиты</w:t>
      </w:r>
      <w:proofErr w:type="spellEnd"/>
      <w:r w:rsidRPr="00A502F7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. Грозозащитный трос заземляется на каждой опоре.</w:t>
      </w:r>
    </w:p>
    <w:p w:rsidR="00A502F7" w:rsidRPr="00A502F7" w:rsidRDefault="00A502F7" w:rsidP="00A502F7">
      <w:pPr>
        <w:spacing w:after="0" w:line="13" w:lineRule="exact"/>
        <w:ind w:firstLine="709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14" w:lineRule="exact"/>
        <w:ind w:firstLine="709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38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Заземлители подразделяются на естественные и искусственные. Естественными заземлителями считаются проложенные в земле конструкции, не предназначенные для целей заземления, но используемые как заземлители. К </w:t>
      </w: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естественным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заземлителям относятся металлические трубопроводы, обсадные трубы, арматура железобетонных конструкций сооружений и т. п.</w:t>
      </w:r>
    </w:p>
    <w:p w:rsidR="00A502F7" w:rsidRPr="00A502F7" w:rsidRDefault="00A502F7" w:rsidP="00A502F7">
      <w:pPr>
        <w:spacing w:after="0" w:line="16" w:lineRule="exact"/>
        <w:ind w:firstLine="709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38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Искусственные заземлители выполняются только для заземления.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Искусственный заземлитель может состоять из одного или многих вертикальных и горизонтальных электродов и характеризуется значением сопротивления от поверхности заземлителя до уровня нулевого потенциала, которое окружающая земля оказывает стекающему с него току.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Сопротивление заземлителя определяется отношением потенциала на заземлителе к стекающему с него току.</w:t>
      </w:r>
      <w:bookmarkStart w:id="1" w:name="page30"/>
      <w:bookmarkStart w:id="2" w:name="page31"/>
      <w:bookmarkEnd w:id="1"/>
      <w:bookmarkEnd w:id="2"/>
    </w:p>
    <w:p w:rsidR="00A502F7" w:rsidRPr="00A502F7" w:rsidRDefault="00A502F7" w:rsidP="00A502F7">
      <w:pPr>
        <w:spacing w:after="0" w:line="238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Защитное заземление – это преднамеренное электрическое соединение с землёй или её эквивалентом металлических нетоковедущих частей электроустановок, которые могут оказаться под напряжением. Например, при замыкании фазы на корпус.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Задача защитного заземления состоит в устранении опасности поражения электрическим током в случае прикосновения к корпусу и другим нетоковедущим металлическим частям электроустановок, оказавшимся под напряжением.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02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Принцип действия. 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02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Снижение напряжения между корпусом, оказавшимся под напряжением, и землёй до безопасного значения.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19680" cy="2052320"/>
            <wp:effectExtent l="0" t="0" r="0" b="5080"/>
            <wp:docPr id="2" name="Рисунок 2" descr="wscst657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scst6574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02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Если корпус электрооборудования не заземлён и оказался под напряжением в результате пробоя фазы, то прикосновение к такому корпусу </w:t>
      </w:r>
      <w:r w:rsidRPr="00A502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равносильно прикосновению к фазе. В этом случае ток, проходящий через человека, может достигнуть опасных значений. При применении же заземления большая часть тока </w:t>
      </w:r>
      <w:proofErr w:type="spellStart"/>
      <w:r w:rsidRPr="00A502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поёдёт</w:t>
      </w:r>
      <w:proofErr w:type="spellEnd"/>
      <w:r w:rsidRPr="00A502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через него. В результате ток через человека достигает безопасных значений. </w:t>
      </w: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Достигается это уменьшением потенциала заземленного оборудования за счет малого сопротивления заземлителя, а также путем выравнивания потенциалов основания, на котором находится человек и заземленного оборудования за счет подъема потенциала основания до уровня потенциала заземленного оборудования.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Защитное заземление – это параллельное включение в электрическую цепь заземлителя со значительно меньшим сопротивлением </w:t>
      </w:r>
      <w:proofErr w:type="spellStart"/>
      <w:proofErr w:type="gram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proofErr w:type="gram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з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&lt;&lt;</w:t>
      </w:r>
      <w:proofErr w:type="spell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r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(рис. 3.3.4.6)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сетях с напряжением до 1000В сопротивление заземляющего устройства должно быть не более 4 Ом, при напряжении выше 1000В — не более-0.5 Ом.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таком включение в электрическую цепь ток, проходящий через человека, будет равен: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</w:t>
      </w:r>
      <w:r w:rsidRPr="00A502F7">
        <w:rPr>
          <w:rFonts w:ascii="Times New Roman" w:eastAsia="Times New Roman" w:hAnsi="Times New Roman" w:cs="Times New Roman"/>
          <w:bCs/>
          <w:position w:val="-30"/>
          <w:sz w:val="28"/>
          <w:szCs w:val="28"/>
          <w:lang w:eastAsia="ru-RU"/>
        </w:rPr>
        <w:object w:dxaOrig="13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48pt" o:ole="" fillcolor="window">
            <v:imagedata r:id="rId7" o:title=""/>
          </v:shape>
          <o:OLEObject Type="Embed" ProgID="Equation.3" ShapeID="_x0000_i1025" DrawAspect="Content" ObjectID="_1641728191" r:id="rId8"/>
        </w:objec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(3.4.21)                          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где, </w:t>
      </w:r>
      <w:proofErr w:type="spell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r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сопротивление тела человека, Ом 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proofErr w:type="spellStart"/>
      <w:proofErr w:type="gram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I</w:t>
      </w:r>
      <w:proofErr w:type="gram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общ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 xml:space="preserve"> 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- 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 проходящий ток через два заземлителя (тело человека и заземлитель), Ом;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proofErr w:type="spellStart"/>
      <w:proofErr w:type="gram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proofErr w:type="gram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общ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– 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сопротивление заземлителей, Ом.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object w:dxaOrig="8230" w:dyaOrig="2743">
          <v:shape id="_x0000_i1026" type="#_x0000_t75" style="width:246.75pt;height:82.5pt" o:ole="">
            <v:imagedata r:id="rId9" o:title=""/>
          </v:shape>
          <o:OLEObject Type="Embed" ProgID="Photoshop.Image.8" ShapeID="_x0000_i1026" DrawAspect="Content" ObjectID="_1641728192" r:id="rId10">
            <o:FieldCodes>\s</o:FieldCodes>
          </o:OLEObject>
        </w:objec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Рис 3.4.6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Защитное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заземленне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: а – схема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заземления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корпуса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электрооборудования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;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б-эквивалентная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электрическая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схема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position w:val="-30"/>
          <w:sz w:val="28"/>
          <w:szCs w:val="28"/>
          <w:lang w:eastAsia="ru-RU"/>
        </w:rPr>
        <w:object w:dxaOrig="1540" w:dyaOrig="700">
          <v:shape id="_x0000_i1027" type="#_x0000_t75" style="width:94.5pt;height:43.5pt" o:ole="" fillcolor="window">
            <v:imagedata r:id="rId11" o:title=""/>
          </v:shape>
          <o:OLEObject Type="Embed" ProgID="Equation.3" ShapeID="_x0000_i1027" DrawAspect="Content" ObjectID="_1641728193" r:id="rId12"/>
        </w:objec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(3.4.22)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2F7" w:rsidRPr="00A502F7" w:rsidRDefault="00A502F7" w:rsidP="00A502F7">
      <w:pPr>
        <w:tabs>
          <w:tab w:val="left" w:pos="720"/>
          <w:tab w:val="center" w:pos="494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position w:val="-56"/>
          <w:sz w:val="28"/>
          <w:szCs w:val="28"/>
          <w:lang w:eastAsia="ru-RU"/>
        </w:rPr>
        <w:object w:dxaOrig="1800" w:dyaOrig="980">
          <v:shape id="_x0000_i1028" type="#_x0000_t75" style="width:103.5pt;height:57pt" o:ole="" fillcolor="window">
            <v:imagedata r:id="rId13" o:title=""/>
          </v:shape>
          <o:OLEObject Type="Embed" ProgID="Equation.3" ShapeID="_x0000_i1028" DrawAspect="Content" ObjectID="_1641728194" r:id="rId14"/>
        </w:objec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(3.4.23)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После подстановки значений </w:t>
      </w:r>
      <w:proofErr w:type="spellStart"/>
      <w:proofErr w:type="gram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proofErr w:type="gram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общ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 xml:space="preserve"> 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proofErr w:type="spell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I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общ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 xml:space="preserve"> 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 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формулу / 3.4.21/ получим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position w:val="-30"/>
          <w:sz w:val="28"/>
          <w:szCs w:val="28"/>
          <w:lang w:eastAsia="ru-RU"/>
        </w:rPr>
        <w:object w:dxaOrig="1400" w:dyaOrig="720">
          <v:shape id="_x0000_i1029" type="#_x0000_t75" style="width:88.5pt;height:45pt" o:ole="" fillcolor="window">
            <v:imagedata r:id="rId15" o:title=""/>
          </v:shape>
          <o:OLEObject Type="Embed" ProgID="Equation.3" ShapeID="_x0000_i1029" DrawAspect="Content" ObjectID="_1641728195" r:id="rId16"/>
        </w:objec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(3.4.24)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Определить величину поражающего тока при однофазном включении человека в трехфазную сеть с </w:t>
      </w:r>
      <w:proofErr w:type="gramStart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изолированной</w:t>
      </w:r>
      <w:proofErr w:type="gramEnd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нейтралью</w:t>
      </w:r>
      <w:proofErr w:type="spellEnd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Допустим, что сопротивление пола и обуви: </w:t>
      </w:r>
      <w:proofErr w:type="spellStart"/>
      <w:proofErr w:type="gram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proofErr w:type="gram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п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= </w:t>
      </w:r>
      <w:proofErr w:type="spell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об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= 0  </w:t>
      </w:r>
      <w:proofErr w:type="spellStart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R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vertAlign w:val="subscript"/>
          <w:lang w:eastAsia="ru-RU"/>
        </w:rPr>
        <w:t>u</w:t>
      </w:r>
      <w:proofErr w:type="spellEnd"/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= 3000 Ом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отсутствии заземления ток поражения: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position w:val="-56"/>
          <w:sz w:val="28"/>
          <w:szCs w:val="28"/>
          <w:lang w:eastAsia="ru-RU"/>
        </w:rPr>
        <w:object w:dxaOrig="3519" w:dyaOrig="980">
          <v:shape id="_x0000_i1030" type="#_x0000_t75" style="width:183pt;height:51.75pt" o:ole="" fillcolor="window">
            <v:imagedata r:id="rId17" o:title=""/>
          </v:shape>
          <o:OLEObject Type="Embed" ProgID="Equation.3" ShapeID="_x0000_i1030" DrawAspect="Content" ObjectID="_1641728196" r:id="rId18"/>
        </w:objec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наличии защитного заземления: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position w:val="-30"/>
          <w:sz w:val="28"/>
          <w:szCs w:val="28"/>
          <w:lang w:eastAsia="ru-RU"/>
        </w:rPr>
        <w:object w:dxaOrig="4020" w:dyaOrig="720">
          <v:shape id="_x0000_i1031" type="#_x0000_t75" style="width:227.25pt;height:40.5pt" o:ole="">
            <v:imagedata r:id="rId19" o:title=""/>
          </v:shape>
          <o:OLEObject Type="Embed" ProgID="Equation.3" ShapeID="_x0000_i1031" DrawAspect="Content" ObjectID="_1641728197" r:id="rId20"/>
        </w:objec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видим, ток поражения при наличии заземляющего устройства  значительно меньше удерживающего.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Заземление установок заключается в соединении с землей их металлических частей (нормально не находящихся под напряжением) с заземлителем, имеющим малое сопротивление растеканию тока.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Заземляющее устройство состоит из заземлителей, заземляющих шин и проводов, соединяющих корпуса электроустановок с заземлителями.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зависимости от расположения заземлителей относительно заземленного оборудования, заземляющие устройства подразделяют на выносные и контурные (рис 3.4.7).</w:t>
      </w:r>
      <w:proofErr w:type="gramEnd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Заземлители выносного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заземляющего устройства выносятся на некоторое удаление от заземляемого оборудования. </w:t>
      </w:r>
      <w:r w:rsidRPr="00A502F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Контурное заземляющее</w:t>
      </w: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устройство обеспечивает более высокую степень защиты, так как  заземлители располагаются по контуру всего заземляемого оборудования.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816985" cy="17011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98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Calibri" w:eastAsia="Calibri" w:hAnsi="Calibri" w:cs="Arial"/>
          <w:sz w:val="28"/>
          <w:szCs w:val="28"/>
          <w:lang w:val="uk-UA" w:eastAsia="ru-RU"/>
        </w:rPr>
      </w:pP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Рис 3.4.7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Выносное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(а) и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контурное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(б) </w:t>
      </w:r>
      <w:proofErr w:type="spellStart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заземления</w:t>
      </w:r>
      <w:proofErr w:type="spellEnd"/>
      <w:r w:rsidRPr="00A502F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: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1-электроды (</w:t>
      </w:r>
      <w:proofErr w:type="spellStart"/>
      <w:r w:rsidRPr="00A502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заземлители</w:t>
      </w:r>
      <w:proofErr w:type="spellEnd"/>
      <w:r w:rsidRPr="00A502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); 2-токовды (</w:t>
      </w:r>
      <w:proofErr w:type="spellStart"/>
      <w:r w:rsidRPr="00A502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шины</w:t>
      </w:r>
      <w:proofErr w:type="spellEnd"/>
      <w:r w:rsidRPr="00A502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); 3-электроустановки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На практике заземление осуществляется в следующем порядке: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выбирается заземляющее устройство (искусственное или естественное);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- рассчитывается заземляющее устройство;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-отдельные электроды (заземлители) объединяются в одно общее заземляющее устройство;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- корпуса электроустановок соединяются с заземляющим устройством;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-составляется документация для приемки заземляющего устройства в эксплуатацию</w:t>
      </w:r>
      <w:r w:rsidRPr="00A502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выборе заземляющего устройства часто используют, естественные заземлители, которыми служат трубопроводы, проложенные в земле и имеющие хороший конта</w:t>
      </w:r>
      <w:proofErr w:type="gramStart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 с гр</w:t>
      </w:r>
      <w:proofErr w:type="gramEnd"/>
      <w:r w:rsidRPr="00A50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унтом, стальные трубы электропроводов. При строительстве промышленных зданий в качестве естественных заземлителей могут быть использованы металлические каркасы зданий.</w:t>
      </w:r>
    </w:p>
    <w:p w:rsidR="00A502F7" w:rsidRPr="00A502F7" w:rsidRDefault="00A502F7" w:rsidP="00A50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Трубопроводы для горючих жидкостей и взрывоопасных газов использовать в качестве заземлителей запрещается. Металлические и железобетонные конструкции при использовании их в качестве заземляющих устройств должны образовывать непрерывную электрическую цепь по металлу.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При отсутствии естественных заземлителей устраивают искусственные, в качестве которых применяют металлические трубы, стержни или угловую сталь, забитые в землю на 0,5—0,8 м ниже уровня земли и приваренные к шине, уложенной на глубине 0,5—0,8 м. Расстояние между вертикально забитыми заземлителями должно быть не менее их длины.</w:t>
      </w:r>
      <w:proofErr w:type="gramEnd"/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Соединение элементов заземляющих устройств осуществляется с помощью сварки, а корпуса машин и аппаратов соединяются с проводниками заземляющих устрой</w:t>
      </w:r>
      <w:proofErr w:type="gramStart"/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ств св</w:t>
      </w:r>
      <w:proofErr w:type="gramEnd"/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аркой, надежными болтовыми соединениями. Минимальное поперечное сечение заземляющих голых медных проводов должно быть 4 мм</w:t>
      </w:r>
      <w:proofErr w:type="gramStart"/>
      <w:r w:rsidRPr="00A502F7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, алюминиевых - 6 мм</w:t>
      </w:r>
      <w:r w:rsidRPr="00A502F7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, стальных - 24 мм</w:t>
      </w:r>
      <w:r w:rsidRPr="00A502F7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Заземляющие проводники, расположенные в помещениях, должны быть доступны для осмотра, защищены от коррозии. Каждый заземляемый элемент установки должен быть присое</w:t>
      </w: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softHyphen/>
        <w:t>динен к заземлителю или заземляющей магистрали посредством отдельного ответвления (параллельное заземление). Последовательное включение в заземляющий проводник нескольких заземляемых частей установки запрещается. При приемке в эксплуатацию каждого заземляющего устройства необходимо иметь: паспорт, включающий исполнительные чертежи и схемы заземляющего устройства с указанием расположения подземных коммуникаций; акты на подземные работы по укладке элементов заземляющего устройства; протоколы приемо-сдаточных испытаний заземляющего устройства.</w:t>
      </w:r>
    </w:p>
    <w:p w:rsidR="00A502F7" w:rsidRPr="00A502F7" w:rsidRDefault="00A502F7" w:rsidP="00A50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Измерение сопротивления заземляющих устрой</w:t>
      </w:r>
      <w:proofErr w:type="gramStart"/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>ств пр</w:t>
      </w:r>
      <w:proofErr w:type="gramEnd"/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оизводится в первый год эксплуатации, а в дальнейшем - не реже одного раза в три года, для цеховых электроустановок - не реже одного раза в год. Измерение сопротивления заземлителей, удельного сопротивления грунта проводится в </w:t>
      </w:r>
      <w:r w:rsidRPr="00A502F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периоды наименьшей проводимости (летом, зимой). Срок службы заземлителей — 25-30 лет.</w:t>
      </w:r>
    </w:p>
    <w:p w:rsidR="00A502F7" w:rsidRPr="00A502F7" w:rsidRDefault="00A502F7" w:rsidP="00A502F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0" w:lineRule="atLeast"/>
        <w:ind w:left="2080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bookmarkStart w:id="3" w:name="page100"/>
      <w:bookmarkEnd w:id="3"/>
      <w:r w:rsidRPr="00A502F7">
        <w:rPr>
          <w:rFonts w:ascii="Times New Roman" w:eastAsia="Times New Roman" w:hAnsi="Times New Roman" w:cs="Arial"/>
          <w:b/>
          <w:sz w:val="32"/>
          <w:szCs w:val="20"/>
          <w:lang w:eastAsia="ru-RU"/>
        </w:rPr>
        <w:t>Электрический баланс предприятия.</w:t>
      </w:r>
    </w:p>
    <w:p w:rsidR="00A502F7" w:rsidRPr="00A502F7" w:rsidRDefault="00A502F7" w:rsidP="00A502F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68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86" w:lineRule="exac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</w:p>
    <w:p w:rsidR="00A502F7" w:rsidRPr="00A502F7" w:rsidRDefault="00A502F7" w:rsidP="00A502F7">
      <w:pPr>
        <w:spacing w:after="0" w:line="236" w:lineRule="auto"/>
        <w:ind w:left="720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Электробаланс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предприятия состоит из доходной и расходной частей.</w:t>
      </w:r>
    </w:p>
    <w:p w:rsidR="00A502F7" w:rsidRPr="00A502F7" w:rsidRDefault="00A502F7" w:rsidP="00A502F7">
      <w:pPr>
        <w:spacing w:after="0" w:line="1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37" w:lineRule="auto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Приходная часть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электробаланса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отражает количество электроэнергии, поступающая от энергосистем или других источников на предприятие; расходная часть – количество израсходованной электроэнергии. Приходная и расходная части должны быть равны между собой.</w:t>
      </w:r>
    </w:p>
    <w:p w:rsidR="00A502F7" w:rsidRPr="00A502F7" w:rsidRDefault="00A502F7" w:rsidP="00A502F7">
      <w:pPr>
        <w:spacing w:after="0" w:line="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37" w:lineRule="auto"/>
        <w:ind w:firstLine="720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На предприятиях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электробаланс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составляют по отдельным агрегатам, цехам и предприятия в целом. Он охватывает все основные части прихода и расхода электроэнергии, затрачиваемой на технологический процесс, вспомогательные работы, а также потери в оборудовании и электросетях.</w:t>
      </w:r>
    </w:p>
    <w:p w:rsidR="00A502F7" w:rsidRPr="00A502F7" w:rsidRDefault="00A502F7" w:rsidP="00A502F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0" w:lineRule="atLeast"/>
        <w:ind w:left="720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Различают три вида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электробаланса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:</w:t>
      </w:r>
    </w:p>
    <w:p w:rsidR="00A502F7" w:rsidRPr="00A502F7" w:rsidRDefault="00A502F7" w:rsidP="00A502F7">
      <w:pPr>
        <w:spacing w:after="0" w:line="1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numPr>
          <w:ilvl w:val="0"/>
          <w:numId w:val="2"/>
        </w:numPr>
        <w:tabs>
          <w:tab w:val="left" w:pos="0"/>
          <w:tab w:val="left" w:pos="1134"/>
        </w:tabs>
        <w:spacing w:after="0" w:line="235" w:lineRule="auto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фактический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, отражающий сложившиеся в цехе или предприятии производственные условия;</w:t>
      </w:r>
    </w:p>
    <w:p w:rsidR="00A502F7" w:rsidRPr="00A502F7" w:rsidRDefault="00A502F7" w:rsidP="00A502F7">
      <w:pPr>
        <w:numPr>
          <w:ilvl w:val="0"/>
          <w:numId w:val="2"/>
        </w:numPr>
        <w:tabs>
          <w:tab w:val="left" w:pos="0"/>
          <w:tab w:val="left" w:pos="1134"/>
        </w:tabs>
        <w:spacing w:after="0" w:line="235" w:lineRule="auto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нормализованный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, в котором учитываются возможности рационализации и оптимизации процессов электропотребления и снижения потерь в механизмах и электрических сетях;</w:t>
      </w:r>
    </w:p>
    <w:p w:rsidR="00A502F7" w:rsidRPr="00A502F7" w:rsidRDefault="00A502F7" w:rsidP="00A502F7">
      <w:pPr>
        <w:numPr>
          <w:ilvl w:val="0"/>
          <w:numId w:val="2"/>
        </w:numPr>
        <w:tabs>
          <w:tab w:val="left" w:pos="0"/>
          <w:tab w:val="left" w:pos="1134"/>
        </w:tabs>
        <w:spacing w:after="0" w:line="235" w:lineRule="auto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перспективный, составляемый с учетом прогнозируемого развития производства и его качественных изменений на определенный срок.</w:t>
      </w:r>
    </w:p>
    <w:p w:rsidR="00A502F7" w:rsidRPr="00A502F7" w:rsidRDefault="00A502F7" w:rsidP="00A502F7">
      <w:pPr>
        <w:spacing w:after="0" w:line="2" w:lineRule="exac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A502F7" w:rsidRPr="00A502F7" w:rsidRDefault="00A502F7" w:rsidP="00A502F7">
      <w:pPr>
        <w:spacing w:after="0" w:line="239" w:lineRule="auto"/>
        <w:ind w:left="720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Электробаланс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предприятия составляется для </w:t>
      </w: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активной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и реактивной</w:t>
      </w:r>
    </w:p>
    <w:p w:rsidR="00A502F7" w:rsidRPr="00A502F7" w:rsidRDefault="00A502F7" w:rsidP="00A502F7">
      <w:pPr>
        <w:spacing w:after="0" w:line="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37" w:lineRule="auto"/>
        <w:ind w:left="40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энергии. В </w:t>
      </w: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сводном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электробалансе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предприятия приходная часть включает в себя энергию, поступившую от всех источников ее выработки. Приходная часть по реактивной мощности содержит также данные о выработке реактивной энергии всеми источниками реактивной мощности.</w:t>
      </w:r>
    </w:p>
    <w:p w:rsidR="00A502F7" w:rsidRPr="00A502F7" w:rsidRDefault="00A502F7" w:rsidP="00A502F7">
      <w:pPr>
        <w:spacing w:after="0" w:line="239" w:lineRule="auto"/>
        <w:ind w:left="720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Расходная часть содержит:</w:t>
      </w:r>
    </w:p>
    <w:p w:rsidR="00A502F7" w:rsidRPr="00A502F7" w:rsidRDefault="00A502F7" w:rsidP="00A502F7">
      <w:pPr>
        <w:numPr>
          <w:ilvl w:val="0"/>
          <w:numId w:val="4"/>
        </w:numPr>
        <w:tabs>
          <w:tab w:val="left" w:pos="1134"/>
        </w:tabs>
        <w:spacing w:after="0" w:line="239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прямые затраты электроэнергии </w:t>
      </w: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на основной технологический процесс с выделением полезного расхода электроэнергии на выпуск продукции без учета потерь в различных звеньях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технологического оборудования, </w:t>
      </w:r>
    </w:p>
    <w:p w:rsidR="00A502F7" w:rsidRPr="00A502F7" w:rsidRDefault="00A502F7" w:rsidP="00A502F7">
      <w:pPr>
        <w:numPr>
          <w:ilvl w:val="0"/>
          <w:numId w:val="4"/>
        </w:numPr>
        <w:tabs>
          <w:tab w:val="left" w:pos="0"/>
          <w:tab w:val="left" w:pos="1134"/>
        </w:tabs>
        <w:spacing w:after="0" w:line="239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косвенные затраты электроэнергии на основной технологический проце</w:t>
      </w:r>
      <w:proofErr w:type="gram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сс всл</w:t>
      </w:r>
      <w:proofErr w:type="gram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едствие его несовершенства или нарушение технических норм (например предварительный нагрев электропечи),</w:t>
      </w:r>
    </w:p>
    <w:p w:rsidR="00A502F7" w:rsidRPr="00A502F7" w:rsidRDefault="00A502F7" w:rsidP="00A502F7">
      <w:pPr>
        <w:numPr>
          <w:ilvl w:val="0"/>
          <w:numId w:val="4"/>
        </w:numPr>
        <w:tabs>
          <w:tab w:val="left" w:pos="0"/>
          <w:tab w:val="left" w:pos="1134"/>
        </w:tabs>
        <w:spacing w:after="0" w:line="239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затраты электроэнергии на вспомогательные нужды (вентиляция, обогрев и др.), потери электроэнергии в элементах системы электроснабжения,</w:t>
      </w:r>
    </w:p>
    <w:p w:rsidR="00A502F7" w:rsidRPr="00A502F7" w:rsidRDefault="00A502F7" w:rsidP="00A502F7">
      <w:pPr>
        <w:numPr>
          <w:ilvl w:val="0"/>
          <w:numId w:val="4"/>
        </w:numPr>
        <w:tabs>
          <w:tab w:val="left" w:pos="0"/>
          <w:tab w:val="left" w:pos="1134"/>
        </w:tabs>
        <w:spacing w:after="0" w:line="239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отпуск электроэнергии посторонним потребителям.</w:t>
      </w:r>
    </w:p>
    <w:p w:rsidR="00A502F7" w:rsidRPr="00A502F7" w:rsidRDefault="00A502F7" w:rsidP="00A502F7">
      <w:pPr>
        <w:spacing w:after="0" w:line="1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34" w:lineRule="auto"/>
        <w:ind w:firstLine="720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Наличие всех составляющих расходной части вовсе не является обязательным.</w:t>
      </w:r>
    </w:p>
    <w:p w:rsidR="00A502F7" w:rsidRPr="00A502F7" w:rsidRDefault="00A502F7" w:rsidP="00A502F7">
      <w:pPr>
        <w:spacing w:after="0" w:line="18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0" w:lineRule="atLeast"/>
        <w:ind w:left="720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 xml:space="preserve">Задачами составления </w:t>
      </w:r>
      <w:proofErr w:type="spellStart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электробаланса</w:t>
      </w:r>
      <w:proofErr w:type="spellEnd"/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являются:</w:t>
      </w:r>
    </w:p>
    <w:p w:rsidR="00A502F7" w:rsidRPr="00A502F7" w:rsidRDefault="00A502F7" w:rsidP="00A502F7">
      <w:pPr>
        <w:numPr>
          <w:ilvl w:val="0"/>
          <w:numId w:val="5"/>
        </w:numPr>
        <w:tabs>
          <w:tab w:val="left" w:pos="1134"/>
        </w:tabs>
        <w:spacing w:after="0" w:line="0" w:lineRule="atLeast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определение расхода электроэнергии для четкого выделения расхода электроэнергии на основную продукцию,</w:t>
      </w:r>
    </w:p>
    <w:p w:rsidR="00A502F7" w:rsidRPr="00A502F7" w:rsidRDefault="00A502F7" w:rsidP="00A502F7">
      <w:pPr>
        <w:numPr>
          <w:ilvl w:val="0"/>
          <w:numId w:val="5"/>
        </w:numPr>
        <w:tabs>
          <w:tab w:val="left" w:pos="1134"/>
        </w:tabs>
        <w:spacing w:after="0" w:line="0" w:lineRule="atLeast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определение действительных норм расхода электроэнергии на единицу продукции предприятия,</w:t>
      </w:r>
    </w:p>
    <w:p w:rsidR="00A502F7" w:rsidRPr="00A502F7" w:rsidRDefault="00A502F7" w:rsidP="00A502F7">
      <w:pPr>
        <w:numPr>
          <w:ilvl w:val="0"/>
          <w:numId w:val="5"/>
        </w:numPr>
        <w:tabs>
          <w:tab w:val="left" w:pos="1134"/>
        </w:tabs>
        <w:spacing w:after="0" w:line="0" w:lineRule="atLeast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502F7">
        <w:rPr>
          <w:rFonts w:ascii="Times New Roman" w:eastAsia="Times New Roman" w:hAnsi="Times New Roman" w:cs="Arial"/>
          <w:sz w:val="28"/>
          <w:szCs w:val="20"/>
          <w:lang w:eastAsia="ru-RU"/>
        </w:rPr>
        <w:t>выявление возможности сокращения непроизводственных расходов электроэнергии и уменьшения расхода электроэнергии на выпуск основной продукции путем проведения мероприятий, совершенствующих производственный процесс.</w:t>
      </w:r>
    </w:p>
    <w:p w:rsidR="00A502F7" w:rsidRPr="00A502F7" w:rsidRDefault="00A502F7" w:rsidP="00A502F7">
      <w:pPr>
        <w:spacing w:after="0" w:line="28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502F7" w:rsidRPr="00A502F7" w:rsidRDefault="00A502F7" w:rsidP="00A502F7">
      <w:pPr>
        <w:spacing w:after="0" w:line="240" w:lineRule="auto"/>
        <w:ind w:left="1120" w:right="-7"/>
        <w:jc w:val="both"/>
        <w:rPr>
          <w:rFonts w:ascii="Times New Roman" w:eastAsia="Times New Roman" w:hAnsi="Times New Roman" w:cs="Arial"/>
          <w:b/>
          <w:i/>
          <w:sz w:val="28"/>
          <w:szCs w:val="28"/>
          <w:lang w:eastAsia="ru-RU"/>
        </w:rPr>
      </w:pPr>
    </w:p>
    <w:p w:rsidR="00A502F7" w:rsidRPr="00A502F7" w:rsidRDefault="00A502F7" w:rsidP="00A502F7">
      <w:pPr>
        <w:spacing w:after="0" w:line="240" w:lineRule="auto"/>
        <w:ind w:left="1120" w:right="-7"/>
        <w:jc w:val="both"/>
        <w:rPr>
          <w:rFonts w:ascii="Times New Roman" w:eastAsia="Times New Roman" w:hAnsi="Times New Roman" w:cs="Arial"/>
          <w:b/>
          <w:i/>
          <w:sz w:val="28"/>
          <w:szCs w:val="28"/>
          <w:lang w:eastAsia="ru-RU"/>
        </w:rPr>
      </w:pPr>
    </w:p>
    <w:p w:rsidR="00762F32" w:rsidRDefault="00A502F7">
      <w:bookmarkStart w:id="4" w:name="_GoBack"/>
      <w:bookmarkEnd w:id="4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2"/>
    <w:multiLevelType w:val="hybridMultilevel"/>
    <w:tmpl w:val="684A481A"/>
    <w:lvl w:ilvl="0" w:tplc="FFFFFFFF">
      <w:start w:val="1"/>
      <w:numFmt w:val="decimal"/>
      <w:lvlText w:val="8.1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44"/>
    <w:multiLevelType w:val="hybridMultilevel"/>
    <w:tmpl w:val="42C296B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E9D495D"/>
    <w:multiLevelType w:val="hybridMultilevel"/>
    <w:tmpl w:val="8A6E34A4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>
    <w:nsid w:val="104C5C95"/>
    <w:multiLevelType w:val="hybridMultilevel"/>
    <w:tmpl w:val="A20AD8BE"/>
    <w:lvl w:ilvl="0" w:tplc="41EA0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2B4C9B"/>
    <w:multiLevelType w:val="hybridMultilevel"/>
    <w:tmpl w:val="CE5E86F2"/>
    <w:lvl w:ilvl="0" w:tplc="24DEA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F7"/>
    <w:rsid w:val="00097047"/>
    <w:rsid w:val="007D5BD1"/>
    <w:rsid w:val="00A502F7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4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1872</Words>
  <Characters>10676</Characters>
  <Application>Microsoft Office Word</Application>
  <DocSecurity>0</DocSecurity>
  <Lines>88</Lines>
  <Paragraphs>25</Paragraphs>
  <ScaleCrop>false</ScaleCrop>
  <Company/>
  <LinksUpToDate>false</LinksUpToDate>
  <CharactersWithSpaces>12523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2020-01-28T08:50:00Z</dcterms:created>
  <dcterms:modified xsi:type="dcterms:W3CDTF">2020-01-28T08:50:00Z</dcterms:modified>
</cp:coreProperties>
</file>