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BC9" w:rsidRPr="00A24730" w:rsidRDefault="00207BC9" w:rsidP="00207BC9">
      <w:pPr>
        <w:ind w:left="1100" w:right="-7"/>
        <w:jc w:val="both"/>
        <w:rPr>
          <w:rFonts w:ascii="Times New Roman" w:eastAsia="Times New Roman" w:hAnsi="Times New Roman"/>
          <w:b/>
          <w:sz w:val="28"/>
          <w:szCs w:val="28"/>
        </w:rPr>
      </w:pPr>
      <w:r w:rsidRPr="00A24730">
        <w:rPr>
          <w:rFonts w:ascii="Times New Roman" w:eastAsia="Times New Roman" w:hAnsi="Times New Roman"/>
          <w:b/>
          <w:sz w:val="28"/>
          <w:szCs w:val="28"/>
        </w:rPr>
        <w:t>7.1. ОБЩИЕ СВЕДЕНИЯ О ВЫБОРЕ МЕСТА ПОЛОЖЕНИЯ</w:t>
      </w:r>
    </w:p>
    <w:p w:rsidR="00207BC9" w:rsidRPr="00A24730" w:rsidRDefault="00207BC9" w:rsidP="00207BC9">
      <w:pPr>
        <w:ind w:left="2860" w:right="-7"/>
        <w:jc w:val="both"/>
        <w:rPr>
          <w:rFonts w:ascii="Times New Roman" w:eastAsia="Times New Roman" w:hAnsi="Times New Roman"/>
          <w:b/>
          <w:sz w:val="28"/>
          <w:szCs w:val="28"/>
        </w:rPr>
      </w:pPr>
      <w:r w:rsidRPr="00A24730">
        <w:rPr>
          <w:rFonts w:ascii="Times New Roman" w:eastAsia="Times New Roman" w:hAnsi="Times New Roman"/>
          <w:b/>
          <w:sz w:val="28"/>
          <w:szCs w:val="28"/>
        </w:rPr>
        <w:t>ПИТАЮЩИХ  ПОДСТАНЦИЙ</w:t>
      </w: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right="-7" w:firstLine="852"/>
        <w:jc w:val="both"/>
        <w:rPr>
          <w:rFonts w:ascii="Times New Roman" w:eastAsia="Times New Roman" w:hAnsi="Times New Roman"/>
          <w:sz w:val="28"/>
          <w:szCs w:val="28"/>
        </w:rPr>
      </w:pPr>
      <w:r w:rsidRPr="00A24730">
        <w:rPr>
          <w:rFonts w:ascii="Times New Roman" w:eastAsia="Times New Roman" w:hAnsi="Times New Roman"/>
          <w:sz w:val="28"/>
          <w:szCs w:val="28"/>
        </w:rPr>
        <w:t>Подстанции (ГПП, УРП, ПГВ, цеховые КТП) и распределительные устройства (РП, ЩСУ) являются одним их основных звеньев системы электроснабжения промышленного предприятия. Оптимальное размещение подстанций на территории промышленного предприятия и распределительных устройств в цехах является важнейшей задачей при построении рациональных систем электроснабжения.</w:t>
      </w:r>
    </w:p>
    <w:p w:rsidR="00207BC9" w:rsidRPr="00A24730" w:rsidRDefault="00207BC9" w:rsidP="00207BC9">
      <w:pPr>
        <w:ind w:right="-7" w:firstLine="852"/>
        <w:jc w:val="both"/>
        <w:rPr>
          <w:rFonts w:ascii="Times New Roman" w:eastAsia="Times New Roman" w:hAnsi="Times New Roman"/>
          <w:sz w:val="28"/>
          <w:szCs w:val="28"/>
        </w:rPr>
      </w:pPr>
      <w:r w:rsidRPr="00A24730">
        <w:rPr>
          <w:rFonts w:ascii="Times New Roman" w:eastAsia="Times New Roman" w:hAnsi="Times New Roman"/>
          <w:sz w:val="28"/>
          <w:szCs w:val="28"/>
        </w:rPr>
        <w:t>При проектировании систем электроснабжения предприятия разрабатывается генеральный план проектируемого объекта, на который наносится производственные цехи. Расположение цехов определяется технологическим процессом производства. На генеральном плане указываются установленные или расчетные мощности всего предприятия. Размещение всех подстанций и распределительных устройств должно соответствовать наиболее рациональному сочетанию капитальных затрат на сооружение системы электроснабжения и эксплуатационных расходов.</w:t>
      </w:r>
    </w:p>
    <w:p w:rsidR="00207BC9" w:rsidRPr="00A24730" w:rsidRDefault="00207BC9" w:rsidP="00207BC9">
      <w:pPr>
        <w:ind w:right="-7" w:firstLine="852"/>
        <w:jc w:val="both"/>
        <w:rPr>
          <w:rFonts w:ascii="Times New Roman" w:eastAsia="Times New Roman" w:hAnsi="Times New Roman"/>
          <w:sz w:val="28"/>
          <w:szCs w:val="28"/>
        </w:rPr>
      </w:pPr>
      <w:r w:rsidRPr="00A24730">
        <w:rPr>
          <w:rFonts w:ascii="Times New Roman" w:eastAsia="Times New Roman" w:hAnsi="Times New Roman"/>
          <w:sz w:val="28"/>
          <w:szCs w:val="28"/>
        </w:rPr>
        <w:t>Для определения места положения подстанций при проектировании систем электроснабжения на генеральный план промышленного предприятия наносится картограмма нагрузок.</w:t>
      </w: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left="2500" w:right="-7"/>
        <w:jc w:val="both"/>
        <w:rPr>
          <w:rFonts w:ascii="Times New Roman" w:eastAsia="Times New Roman" w:hAnsi="Times New Roman"/>
          <w:b/>
          <w:sz w:val="28"/>
          <w:szCs w:val="28"/>
        </w:rPr>
      </w:pPr>
      <w:r w:rsidRPr="00A24730">
        <w:rPr>
          <w:rFonts w:ascii="Times New Roman" w:eastAsia="Times New Roman" w:hAnsi="Times New Roman"/>
          <w:b/>
          <w:sz w:val="28"/>
          <w:szCs w:val="28"/>
        </w:rPr>
        <w:t>7.2. КАРТОГРАММА НАГРУЗОК</w:t>
      </w: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left="20" w:right="-7" w:firstLine="852"/>
        <w:jc w:val="both"/>
        <w:rPr>
          <w:rFonts w:ascii="Times New Roman" w:eastAsia="Times New Roman" w:hAnsi="Times New Roman"/>
          <w:sz w:val="28"/>
          <w:szCs w:val="28"/>
        </w:rPr>
      </w:pPr>
      <w:r w:rsidRPr="00A24730">
        <w:rPr>
          <w:rFonts w:ascii="Times New Roman" w:eastAsia="Times New Roman" w:hAnsi="Times New Roman"/>
          <w:sz w:val="28"/>
          <w:szCs w:val="28"/>
        </w:rPr>
        <w:t>Картограмма нагрузок предприятия представляет собой размещенные по генеральному плану окружности, причем площади, ограниченные этими окружностями, в выбранном масштабе равны расчетным нагрузкам цехов. Для каждого цеха наносится своя окружность, центр которой совпадает с центром нагрузок цеха. Центр нагрузок цеха или предприятия является символическим центром потребления электрической энергии цеха (предприятия).</w:t>
      </w:r>
    </w:p>
    <w:p w:rsidR="00207BC9" w:rsidRPr="00A24730" w:rsidRDefault="00207BC9" w:rsidP="00207BC9">
      <w:pPr>
        <w:ind w:left="20" w:right="-7" w:firstLine="852"/>
        <w:jc w:val="both"/>
        <w:rPr>
          <w:rFonts w:ascii="Times New Roman" w:eastAsia="Times New Roman" w:hAnsi="Times New Roman"/>
          <w:sz w:val="28"/>
          <w:szCs w:val="28"/>
        </w:rPr>
      </w:pPr>
      <w:r w:rsidRPr="00A24730">
        <w:rPr>
          <w:rFonts w:ascii="Times New Roman" w:eastAsia="Times New Roman" w:hAnsi="Times New Roman"/>
          <w:sz w:val="28"/>
          <w:szCs w:val="28"/>
        </w:rPr>
        <w:t>ГПП и цеховые подстанции следует располагать как можно ближе к центру нагрузок, так как это позволяет приблизить высокое напряжение к центру потребления электрической энергии и значительно сократить протяженность, как распределительных сетей высокого напряжения</w:t>
      </w:r>
      <w:bookmarkStart w:id="0" w:name="page85"/>
      <w:bookmarkEnd w:id="0"/>
      <w:r>
        <w:rPr>
          <w:rFonts w:ascii="Times New Roman" w:eastAsia="Times New Roman" w:hAnsi="Times New Roman"/>
          <w:sz w:val="28"/>
          <w:szCs w:val="28"/>
        </w:rPr>
        <w:t xml:space="preserve"> </w:t>
      </w:r>
      <w:r w:rsidRPr="00A24730">
        <w:rPr>
          <w:rFonts w:ascii="Times New Roman" w:eastAsia="Times New Roman" w:hAnsi="Times New Roman"/>
          <w:sz w:val="28"/>
          <w:szCs w:val="28"/>
        </w:rPr>
        <w:t>предприятия, так и цеховых электрических сетей низкого напряжения, уменьшить расход проводникового материала и снизить потери электрической энергии.</w:t>
      </w:r>
    </w:p>
    <w:p w:rsidR="00207BC9" w:rsidRPr="00A24730" w:rsidRDefault="00207BC9" w:rsidP="00207BC9">
      <w:pPr>
        <w:ind w:right="-7" w:firstLine="851"/>
        <w:jc w:val="both"/>
        <w:rPr>
          <w:rFonts w:ascii="Times New Roman" w:eastAsia="Times New Roman" w:hAnsi="Times New Roman"/>
          <w:sz w:val="28"/>
          <w:szCs w:val="28"/>
        </w:rPr>
      </w:pPr>
      <w:r w:rsidRPr="00A24730">
        <w:rPr>
          <w:rFonts w:ascii="Times New Roman" w:eastAsia="Times New Roman" w:hAnsi="Times New Roman"/>
          <w:sz w:val="28"/>
          <w:szCs w:val="28"/>
        </w:rPr>
        <w:t xml:space="preserve">Картограмма  электрических  нагрузок  позволяет  проектировщику наглядно представить распределение нагрузок на территории промышленного предприятия. Картограмма нагрузок состоит из окружностей, площадь которых </w:t>
      </w:r>
      <w:r>
        <w:rPr>
          <w:rFonts w:ascii="Times New Roman" w:eastAsia="Times New Roman" w:hAnsi="Times New Roman"/>
          <w:noProof/>
          <w:sz w:val="28"/>
          <w:szCs w:val="28"/>
        </w:rPr>
        <w:drawing>
          <wp:inline distT="0" distB="0" distL="0" distR="0">
            <wp:extent cx="340360" cy="233680"/>
            <wp:effectExtent l="0" t="0" r="254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0360" cy="233680"/>
                    </a:xfrm>
                    <a:prstGeom prst="rect">
                      <a:avLst/>
                    </a:prstGeom>
                    <a:noFill/>
                    <a:ln>
                      <a:noFill/>
                    </a:ln>
                  </pic:spPr>
                </pic:pic>
              </a:graphicData>
            </a:graphic>
          </wp:inline>
        </w:drawing>
      </w:r>
      <w:r w:rsidRPr="00A24730">
        <w:rPr>
          <w:rFonts w:ascii="Times New Roman" w:eastAsia="Times New Roman" w:hAnsi="Times New Roman"/>
          <w:sz w:val="28"/>
          <w:szCs w:val="28"/>
        </w:rPr>
        <w:t xml:space="preserve"> в  выбранном  масштабе  т  (кВт/мм</w:t>
      </w:r>
      <w:proofErr w:type="gramStart"/>
      <w:r>
        <w:rPr>
          <w:rFonts w:ascii="Times New Roman" w:eastAsia="Times New Roman" w:hAnsi="Times New Roman"/>
          <w:sz w:val="28"/>
          <w:szCs w:val="28"/>
          <w:vertAlign w:val="superscript"/>
        </w:rPr>
        <w:t>2</w:t>
      </w:r>
      <w:proofErr w:type="gramEnd"/>
      <w:r w:rsidRPr="00A24730">
        <w:rPr>
          <w:rFonts w:ascii="Times New Roman" w:eastAsia="Times New Roman" w:hAnsi="Times New Roman"/>
          <w:sz w:val="28"/>
          <w:szCs w:val="28"/>
        </w:rPr>
        <w:t>)   равна  расчетной  нагрузке</w:t>
      </w:r>
      <w:r>
        <w:rPr>
          <w:rFonts w:ascii="Times New Roman" w:eastAsia="Times New Roman" w:hAnsi="Times New Roman"/>
          <w:sz w:val="28"/>
          <w:szCs w:val="28"/>
        </w:rPr>
        <w:t xml:space="preserve"> </w:t>
      </w:r>
      <w:r w:rsidRPr="00A24730">
        <w:rPr>
          <w:rFonts w:ascii="Times New Roman" w:eastAsia="Times New Roman" w:hAnsi="Times New Roman"/>
          <w:sz w:val="28"/>
          <w:szCs w:val="28"/>
        </w:rPr>
        <w:t xml:space="preserve">соответствующего цеха </w:t>
      </w:r>
      <w:proofErr w:type="spellStart"/>
      <w:r w:rsidRPr="00A24730">
        <w:rPr>
          <w:rFonts w:ascii="Times New Roman" w:eastAsia="Times New Roman" w:hAnsi="Times New Roman"/>
          <w:sz w:val="28"/>
          <w:szCs w:val="28"/>
        </w:rPr>
        <w:t>Рi</w:t>
      </w:r>
      <w:proofErr w:type="spellEnd"/>
      <w:r w:rsidRPr="00A24730">
        <w:rPr>
          <w:rFonts w:ascii="Times New Roman" w:eastAsia="Times New Roman" w:hAnsi="Times New Roman"/>
          <w:sz w:val="28"/>
          <w:szCs w:val="28"/>
        </w:rPr>
        <w:t>:</w:t>
      </w:r>
    </w:p>
    <w:p w:rsidR="00207BC9" w:rsidRDefault="00207BC9" w:rsidP="00207BC9">
      <w:pPr>
        <w:ind w:right="-7"/>
        <w:jc w:val="both"/>
        <w:rPr>
          <w:rFonts w:ascii="Times New Roman" w:eastAsia="Times New Roman" w:hAnsi="Times New Roman"/>
          <w:sz w:val="28"/>
          <w:szCs w:val="28"/>
        </w:rPr>
      </w:pPr>
    </w:p>
    <w:p w:rsidR="00207BC9" w:rsidRPr="00A24730" w:rsidRDefault="00207BC9" w:rsidP="00207BC9">
      <w:pPr>
        <w:ind w:right="-7"/>
        <w:rPr>
          <w:rFonts w:ascii="Times New Roman" w:eastAsia="Times New Roman" w:hAnsi="Times New Roman"/>
          <w:sz w:val="28"/>
          <w:szCs w:val="28"/>
        </w:rPr>
      </w:pPr>
      <w:r>
        <w:rPr>
          <w:noProof/>
        </w:rPr>
        <w:drawing>
          <wp:anchor distT="0" distB="0" distL="114300" distR="114300" simplePos="0" relativeHeight="251660288" behindDoc="0" locked="0" layoutInCell="1" allowOverlap="1">
            <wp:simplePos x="0" y="0"/>
            <wp:positionH relativeFrom="column">
              <wp:posOffset>2493010</wp:posOffset>
            </wp:positionH>
            <wp:positionV relativeFrom="paragraph">
              <wp:posOffset>7620</wp:posOffset>
            </wp:positionV>
            <wp:extent cx="957580" cy="344805"/>
            <wp:effectExtent l="0" t="0" r="0" b="0"/>
            <wp:wrapSquare wrapText="r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7580" cy="3448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7BC9" w:rsidRDefault="00207BC9" w:rsidP="00207BC9">
      <w:pPr>
        <w:ind w:left="700" w:right="-7"/>
        <w:jc w:val="both"/>
        <w:rPr>
          <w:rFonts w:ascii="Times New Roman" w:eastAsia="Times New Roman" w:hAnsi="Times New Roman"/>
          <w:sz w:val="28"/>
          <w:szCs w:val="28"/>
        </w:rPr>
      </w:pPr>
    </w:p>
    <w:p w:rsidR="00207BC9" w:rsidRPr="00A24730" w:rsidRDefault="00207BC9" w:rsidP="00207BC9">
      <w:pPr>
        <w:ind w:left="700" w:right="-7"/>
        <w:jc w:val="both"/>
        <w:rPr>
          <w:rFonts w:ascii="Times New Roman" w:eastAsia="Times New Roman" w:hAnsi="Times New Roman"/>
          <w:sz w:val="28"/>
          <w:szCs w:val="28"/>
        </w:rPr>
      </w:pPr>
      <w:r w:rsidRPr="00A24730">
        <w:rPr>
          <w:rFonts w:ascii="Times New Roman" w:eastAsia="Times New Roman" w:hAnsi="Times New Roman"/>
          <w:sz w:val="28"/>
          <w:szCs w:val="28"/>
        </w:rPr>
        <w:t>Масштаб определяется из условия:</w:t>
      </w: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right="-7"/>
        <w:jc w:val="center"/>
        <w:rPr>
          <w:rFonts w:ascii="Times New Roman" w:eastAsia="Times New Roman" w:hAnsi="Times New Roman"/>
          <w:sz w:val="28"/>
          <w:szCs w:val="28"/>
        </w:rPr>
      </w:pPr>
      <w:r>
        <w:rPr>
          <w:rFonts w:ascii="Times New Roman" w:eastAsia="Times New Roman" w:hAnsi="Times New Roman"/>
          <w:noProof/>
          <w:sz w:val="28"/>
          <w:szCs w:val="28"/>
        </w:rPr>
        <w:drawing>
          <wp:inline distT="0" distB="0" distL="0" distR="0">
            <wp:extent cx="1020445" cy="648335"/>
            <wp:effectExtent l="0" t="0" r="825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0445" cy="648335"/>
                    </a:xfrm>
                    <a:prstGeom prst="rect">
                      <a:avLst/>
                    </a:prstGeom>
                    <a:noFill/>
                    <a:ln>
                      <a:noFill/>
                    </a:ln>
                  </pic:spPr>
                </pic:pic>
              </a:graphicData>
            </a:graphic>
          </wp:inline>
        </w:drawing>
      </w: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right="-7"/>
        <w:jc w:val="both"/>
        <w:rPr>
          <w:rFonts w:ascii="Times New Roman" w:eastAsia="Times New Roman" w:hAnsi="Times New Roman"/>
          <w:sz w:val="28"/>
          <w:szCs w:val="28"/>
        </w:rPr>
      </w:pPr>
      <w:r w:rsidRPr="00A24730">
        <w:rPr>
          <w:rFonts w:ascii="Times New Roman" w:eastAsia="Times New Roman" w:hAnsi="Times New Roman"/>
          <w:sz w:val="28"/>
          <w:szCs w:val="28"/>
        </w:rPr>
        <w:t xml:space="preserve">где </w:t>
      </w:r>
      <w:proofErr w:type="spellStart"/>
      <w:r w:rsidRPr="00A24730">
        <w:rPr>
          <w:rFonts w:ascii="Times New Roman" w:eastAsia="Times New Roman" w:hAnsi="Times New Roman"/>
          <w:sz w:val="28"/>
          <w:szCs w:val="28"/>
        </w:rPr>
        <w:t>Р</w:t>
      </w:r>
      <w:r w:rsidRPr="00A24730">
        <w:rPr>
          <w:rFonts w:ascii="Times New Roman" w:eastAsia="Times New Roman" w:hAnsi="Times New Roman"/>
          <w:sz w:val="28"/>
          <w:szCs w:val="28"/>
          <w:vertAlign w:val="subscript"/>
        </w:rPr>
        <w:t>нм</w:t>
      </w:r>
      <w:proofErr w:type="spellEnd"/>
      <w:r w:rsidRPr="00A24730">
        <w:rPr>
          <w:rFonts w:ascii="Times New Roman" w:eastAsia="Times New Roman" w:hAnsi="Times New Roman"/>
          <w:sz w:val="28"/>
          <w:szCs w:val="28"/>
        </w:rPr>
        <w:t xml:space="preserve"> - наименьшая мощность цеха;</w:t>
      </w:r>
    </w:p>
    <w:p w:rsidR="00207BC9" w:rsidRDefault="00207BC9" w:rsidP="00207BC9">
      <w:pPr>
        <w:ind w:right="-7" w:firstLine="709"/>
        <w:jc w:val="both"/>
        <w:rPr>
          <w:rFonts w:ascii="Times New Roman" w:eastAsia="Times New Roman" w:hAnsi="Times New Roman"/>
          <w:sz w:val="28"/>
          <w:szCs w:val="28"/>
        </w:rPr>
      </w:pPr>
      <w:proofErr w:type="spellStart"/>
      <w:proofErr w:type="gramStart"/>
      <w:r w:rsidRPr="00A24730">
        <w:rPr>
          <w:rFonts w:ascii="Times New Roman" w:eastAsia="Times New Roman" w:hAnsi="Times New Roman"/>
          <w:sz w:val="28"/>
          <w:szCs w:val="28"/>
        </w:rPr>
        <w:t>r</w:t>
      </w:r>
      <w:proofErr w:type="gramEnd"/>
      <w:r w:rsidRPr="00A24730">
        <w:rPr>
          <w:rFonts w:ascii="Times New Roman" w:eastAsia="Times New Roman" w:hAnsi="Times New Roman"/>
          <w:sz w:val="28"/>
          <w:szCs w:val="28"/>
          <w:vertAlign w:val="subscript"/>
        </w:rPr>
        <w:t>нм</w:t>
      </w:r>
      <w:proofErr w:type="spellEnd"/>
      <w:r w:rsidRPr="00A24730">
        <w:rPr>
          <w:rFonts w:ascii="Times New Roman" w:eastAsia="Times New Roman" w:hAnsi="Times New Roman"/>
          <w:sz w:val="28"/>
          <w:szCs w:val="28"/>
        </w:rPr>
        <w:t xml:space="preserve"> – наименьший визуально во</w:t>
      </w:r>
      <w:r>
        <w:rPr>
          <w:rFonts w:ascii="Times New Roman" w:eastAsia="Times New Roman" w:hAnsi="Times New Roman"/>
          <w:sz w:val="28"/>
          <w:szCs w:val="28"/>
        </w:rPr>
        <w:t xml:space="preserve">спринимаемый на генплане радиус </w:t>
      </w:r>
      <w:r w:rsidRPr="00A24730">
        <w:rPr>
          <w:rFonts w:ascii="Times New Roman" w:eastAsia="Times New Roman" w:hAnsi="Times New Roman"/>
          <w:sz w:val="28"/>
          <w:szCs w:val="28"/>
        </w:rPr>
        <w:t>нагрузок. Радиус окружностей определяется выражением:</w:t>
      </w:r>
    </w:p>
    <w:p w:rsidR="00207BC9" w:rsidRPr="00A24730" w:rsidRDefault="00207BC9" w:rsidP="00207BC9">
      <w:pPr>
        <w:ind w:right="-7" w:firstLine="709"/>
        <w:jc w:val="both"/>
        <w:rPr>
          <w:rFonts w:ascii="Times New Roman" w:eastAsia="Times New Roman" w:hAnsi="Times New Roman"/>
          <w:sz w:val="28"/>
          <w:szCs w:val="28"/>
        </w:rPr>
      </w:pPr>
    </w:p>
    <w:p w:rsidR="00207BC9" w:rsidRPr="00A24730" w:rsidRDefault="00207BC9" w:rsidP="00207BC9">
      <w:pPr>
        <w:ind w:right="-7"/>
        <w:jc w:val="center"/>
        <w:rPr>
          <w:rFonts w:ascii="Times New Roman" w:eastAsia="Times New Roman" w:hAnsi="Times New Roman"/>
          <w:sz w:val="28"/>
          <w:szCs w:val="28"/>
        </w:rPr>
      </w:pPr>
      <w:r>
        <w:rPr>
          <w:rFonts w:ascii="Times New Roman" w:eastAsia="Times New Roman" w:hAnsi="Times New Roman"/>
          <w:noProof/>
          <w:sz w:val="28"/>
          <w:szCs w:val="28"/>
        </w:rPr>
        <w:drawing>
          <wp:inline distT="0" distB="0" distL="0" distR="0">
            <wp:extent cx="1137920" cy="840105"/>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7920" cy="840105"/>
                    </a:xfrm>
                    <a:prstGeom prst="rect">
                      <a:avLst/>
                    </a:prstGeom>
                    <a:noFill/>
                    <a:ln>
                      <a:noFill/>
                    </a:ln>
                  </pic:spPr>
                </pic:pic>
              </a:graphicData>
            </a:graphic>
          </wp:inline>
        </w:drawing>
      </w: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right="-7" w:firstLine="852"/>
        <w:jc w:val="both"/>
        <w:rPr>
          <w:rFonts w:ascii="Times New Roman" w:eastAsia="Times New Roman" w:hAnsi="Times New Roman"/>
          <w:sz w:val="28"/>
          <w:szCs w:val="28"/>
        </w:rPr>
      </w:pPr>
      <w:r w:rsidRPr="00A24730">
        <w:rPr>
          <w:rFonts w:ascii="Times New Roman" w:eastAsia="Times New Roman" w:hAnsi="Times New Roman"/>
          <w:sz w:val="28"/>
          <w:szCs w:val="28"/>
        </w:rPr>
        <w:t xml:space="preserve">Картограмма может быть построена не только для активной нагрузки, но и для реактивной. </w:t>
      </w: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left="1820" w:right="-7"/>
        <w:jc w:val="both"/>
        <w:rPr>
          <w:rFonts w:ascii="Times New Roman" w:eastAsia="Times New Roman" w:hAnsi="Times New Roman"/>
          <w:b/>
          <w:sz w:val="28"/>
          <w:szCs w:val="28"/>
        </w:rPr>
      </w:pPr>
      <w:r w:rsidRPr="00A24730">
        <w:rPr>
          <w:rFonts w:ascii="Times New Roman" w:eastAsia="Times New Roman" w:hAnsi="Times New Roman"/>
          <w:b/>
          <w:sz w:val="28"/>
          <w:szCs w:val="28"/>
        </w:rPr>
        <w:t>7.3. ОПРЕДЕЛЕНИЕ УСЛОВНОГО ЦЕНТРА</w:t>
      </w: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left="2580" w:right="-7"/>
        <w:jc w:val="both"/>
        <w:rPr>
          <w:rFonts w:ascii="Times New Roman" w:eastAsia="Times New Roman" w:hAnsi="Times New Roman"/>
          <w:b/>
          <w:sz w:val="28"/>
          <w:szCs w:val="28"/>
        </w:rPr>
      </w:pPr>
      <w:r w:rsidRPr="00A24730">
        <w:rPr>
          <w:rFonts w:ascii="Times New Roman" w:eastAsia="Times New Roman" w:hAnsi="Times New Roman"/>
          <w:b/>
          <w:sz w:val="28"/>
          <w:szCs w:val="28"/>
        </w:rPr>
        <w:t>ЭЛЕКТРИЧЕСКИХ НАГРУЗОК</w:t>
      </w: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right="-7" w:firstLine="847"/>
        <w:jc w:val="both"/>
        <w:rPr>
          <w:rFonts w:ascii="Times New Roman" w:eastAsia="Times New Roman" w:hAnsi="Times New Roman"/>
          <w:sz w:val="28"/>
          <w:szCs w:val="28"/>
        </w:rPr>
      </w:pPr>
      <w:r w:rsidRPr="00A24730">
        <w:rPr>
          <w:rFonts w:ascii="Times New Roman" w:eastAsia="Times New Roman" w:hAnsi="Times New Roman"/>
          <w:sz w:val="28"/>
          <w:szCs w:val="28"/>
        </w:rPr>
        <w:t xml:space="preserve">В настоящее время имеется рад математических методов, позволяющих аналитическим путем определить центр электрических нагрузок (ЦЭН) как группы потребителей, так и всего промышленного предприятия. Первый метод использует некоторые положения теоретической механики связанные с определением центра масс детали. Проведя аналогию между массами и электрическими нагрузками цехов </w:t>
      </w:r>
      <w:proofErr w:type="spellStart"/>
      <w:r w:rsidRPr="00A24730">
        <w:rPr>
          <w:rFonts w:ascii="Times New Roman" w:eastAsia="Times New Roman" w:hAnsi="Times New Roman"/>
          <w:sz w:val="28"/>
          <w:szCs w:val="28"/>
        </w:rPr>
        <w:t>Pi</w:t>
      </w:r>
      <w:proofErr w:type="spellEnd"/>
      <w:r w:rsidRPr="00A24730">
        <w:rPr>
          <w:rFonts w:ascii="Times New Roman" w:eastAsia="Times New Roman" w:hAnsi="Times New Roman"/>
          <w:sz w:val="28"/>
          <w:szCs w:val="28"/>
        </w:rPr>
        <w:t xml:space="preserve"> , координаты центра нагрузок предприятия можно определить в соответствии со следующими формулами:</w:t>
      </w:r>
    </w:p>
    <w:p w:rsidR="00207BC9" w:rsidRPr="00A24730" w:rsidRDefault="00207BC9" w:rsidP="00207BC9">
      <w:pPr>
        <w:ind w:right="-7"/>
        <w:jc w:val="both"/>
        <w:rPr>
          <w:rFonts w:ascii="Times New Roman" w:eastAsia="Times New Roman" w:hAnsi="Times New Roman"/>
          <w:sz w:val="28"/>
          <w:szCs w:val="28"/>
        </w:rPr>
      </w:pPr>
      <w:r>
        <w:rPr>
          <w:rFonts w:ascii="Times New Roman" w:eastAsia="Times New Roman" w:hAnsi="Times New Roman"/>
          <w:noProof/>
          <w:sz w:val="28"/>
          <w:szCs w:val="28"/>
        </w:rPr>
        <w:drawing>
          <wp:anchor distT="0" distB="0" distL="114300" distR="114300" simplePos="0" relativeHeight="251659264" behindDoc="1" locked="0" layoutInCell="0" allowOverlap="1">
            <wp:simplePos x="0" y="0"/>
            <wp:positionH relativeFrom="column">
              <wp:posOffset>1567180</wp:posOffset>
            </wp:positionH>
            <wp:positionV relativeFrom="paragraph">
              <wp:posOffset>33655</wp:posOffset>
            </wp:positionV>
            <wp:extent cx="3783965" cy="438785"/>
            <wp:effectExtent l="0" t="0" r="6985"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83965" cy="438785"/>
                    </a:xfrm>
                    <a:prstGeom prst="rect">
                      <a:avLst/>
                    </a:prstGeom>
                    <a:noFill/>
                  </pic:spPr>
                </pic:pic>
              </a:graphicData>
            </a:graphic>
            <wp14:sizeRelH relativeFrom="page">
              <wp14:pctWidth>0</wp14:pctWidth>
            </wp14:sizeRelH>
            <wp14:sizeRelV relativeFrom="page">
              <wp14:pctHeight>0</wp14:pctHeight>
            </wp14:sizeRelV>
          </wp:anchor>
        </w:drawing>
      </w: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right="-7"/>
        <w:jc w:val="both"/>
        <w:rPr>
          <w:rFonts w:ascii="Times New Roman" w:eastAsia="Times New Roman" w:hAnsi="Times New Roman"/>
          <w:sz w:val="28"/>
          <w:szCs w:val="28"/>
        </w:rPr>
      </w:pPr>
      <w:r w:rsidRPr="00A24730">
        <w:rPr>
          <w:rFonts w:ascii="Times New Roman" w:eastAsia="Times New Roman" w:hAnsi="Times New Roman"/>
          <w:sz w:val="28"/>
          <w:szCs w:val="28"/>
        </w:rPr>
        <w:t xml:space="preserve">где </w:t>
      </w:r>
      <w:proofErr w:type="spellStart"/>
      <w:r w:rsidRPr="00A24730">
        <w:rPr>
          <w:rFonts w:ascii="Times New Roman" w:eastAsia="Times New Roman" w:hAnsi="Times New Roman"/>
          <w:sz w:val="28"/>
          <w:szCs w:val="28"/>
        </w:rPr>
        <w:t>x</w:t>
      </w:r>
      <w:r w:rsidRPr="00A24730">
        <w:rPr>
          <w:rFonts w:ascii="Times New Roman" w:eastAsia="Times New Roman" w:hAnsi="Times New Roman"/>
          <w:sz w:val="28"/>
          <w:szCs w:val="28"/>
          <w:vertAlign w:val="subscript"/>
        </w:rPr>
        <w:t>i</w:t>
      </w:r>
      <w:proofErr w:type="spellEnd"/>
      <w:r w:rsidRPr="00A24730">
        <w:rPr>
          <w:rFonts w:ascii="Times New Roman" w:eastAsia="Times New Roman" w:hAnsi="Times New Roman"/>
          <w:sz w:val="28"/>
          <w:szCs w:val="28"/>
        </w:rPr>
        <w:t xml:space="preserve">, </w:t>
      </w:r>
      <w:proofErr w:type="spellStart"/>
      <w:r w:rsidRPr="00A24730">
        <w:rPr>
          <w:rFonts w:ascii="Times New Roman" w:eastAsia="Times New Roman" w:hAnsi="Times New Roman"/>
          <w:sz w:val="28"/>
          <w:szCs w:val="28"/>
        </w:rPr>
        <w:t>y</w:t>
      </w:r>
      <w:r w:rsidRPr="00A24730">
        <w:rPr>
          <w:rFonts w:ascii="Times New Roman" w:eastAsia="Times New Roman" w:hAnsi="Times New Roman"/>
          <w:sz w:val="28"/>
          <w:szCs w:val="28"/>
          <w:vertAlign w:val="subscript"/>
        </w:rPr>
        <w:t>i</w:t>
      </w:r>
      <w:proofErr w:type="spellEnd"/>
      <w:r w:rsidRPr="00A24730">
        <w:rPr>
          <w:rFonts w:ascii="Times New Roman" w:eastAsia="Times New Roman" w:hAnsi="Times New Roman"/>
          <w:sz w:val="28"/>
          <w:szCs w:val="28"/>
        </w:rPr>
        <w:t xml:space="preserve"> - координаты центров нагрузок цехов.</w:t>
      </w:r>
    </w:p>
    <w:p w:rsidR="00207BC9" w:rsidRPr="00A24730" w:rsidRDefault="00207BC9" w:rsidP="00207BC9">
      <w:pPr>
        <w:ind w:right="-7"/>
        <w:jc w:val="both"/>
        <w:rPr>
          <w:rFonts w:ascii="Times New Roman" w:eastAsia="Times New Roman" w:hAnsi="Times New Roman"/>
          <w:sz w:val="28"/>
          <w:szCs w:val="28"/>
        </w:rPr>
      </w:pPr>
    </w:p>
    <w:p w:rsidR="00207BC9" w:rsidRPr="00A24730" w:rsidRDefault="00207BC9" w:rsidP="00207BC9">
      <w:pPr>
        <w:ind w:left="20" w:right="-7" w:firstLine="838"/>
        <w:jc w:val="both"/>
        <w:rPr>
          <w:rFonts w:ascii="Times New Roman" w:eastAsia="Times New Roman" w:hAnsi="Times New Roman"/>
          <w:sz w:val="28"/>
          <w:szCs w:val="28"/>
        </w:rPr>
      </w:pPr>
      <w:r w:rsidRPr="00A24730">
        <w:rPr>
          <w:rFonts w:ascii="Times New Roman" w:eastAsia="Times New Roman" w:hAnsi="Times New Roman"/>
          <w:sz w:val="28"/>
          <w:szCs w:val="28"/>
        </w:rPr>
        <w:t xml:space="preserve">Если считать, что нагрузки цеха распределены равномерно по площади цеха, то центр нагрузок цеха можно принять совпадающим с </w:t>
      </w:r>
      <w:r w:rsidRPr="00A24730">
        <w:rPr>
          <w:rFonts w:ascii="Times New Roman" w:eastAsia="Times New Roman" w:hAnsi="Times New Roman"/>
          <w:sz w:val="28"/>
          <w:szCs w:val="28"/>
        </w:rPr>
        <w:lastRenderedPageBreak/>
        <w:t xml:space="preserve">центром тяжести фигуры, изображающей цех в плане. Если учитывать действительно распределение нагрузок в цехе, центр нагрузок уже не будет совпадать с центром тяжести фигуры цеха в плане. </w:t>
      </w:r>
    </w:p>
    <w:p w:rsidR="00207BC9" w:rsidRPr="00A24730" w:rsidRDefault="00207BC9" w:rsidP="00207BC9">
      <w:pPr>
        <w:ind w:right="-7" w:firstLine="852"/>
        <w:jc w:val="both"/>
        <w:rPr>
          <w:rFonts w:ascii="Times New Roman" w:eastAsia="Times New Roman" w:hAnsi="Times New Roman"/>
          <w:sz w:val="28"/>
          <w:szCs w:val="28"/>
        </w:rPr>
      </w:pPr>
      <w:r w:rsidRPr="00A24730">
        <w:rPr>
          <w:rFonts w:ascii="Times New Roman" w:eastAsia="Times New Roman" w:hAnsi="Times New Roman"/>
          <w:sz w:val="28"/>
          <w:szCs w:val="28"/>
        </w:rPr>
        <w:t xml:space="preserve">Найденный ЦЭН необходимо рассматривать как условный центр, так как его определение еще не решает до конца </w:t>
      </w:r>
      <w:proofErr w:type="gramStart"/>
      <w:r w:rsidRPr="00A24730">
        <w:rPr>
          <w:rFonts w:ascii="Times New Roman" w:eastAsia="Times New Roman" w:hAnsi="Times New Roman"/>
          <w:sz w:val="28"/>
          <w:szCs w:val="28"/>
        </w:rPr>
        <w:t>задачи выбора места расположения подстанции</w:t>
      </w:r>
      <w:proofErr w:type="gramEnd"/>
      <w:r w:rsidRPr="00A24730">
        <w:rPr>
          <w:rFonts w:ascii="Times New Roman" w:eastAsia="Times New Roman" w:hAnsi="Times New Roman"/>
          <w:sz w:val="28"/>
          <w:szCs w:val="28"/>
        </w:rPr>
        <w:t xml:space="preserve"> или распределительного устройства. Это объясняется следующими основными причинами:</w:t>
      </w:r>
    </w:p>
    <w:p w:rsidR="00207BC9" w:rsidRPr="00A24730" w:rsidRDefault="00207BC9" w:rsidP="00207BC9">
      <w:pPr>
        <w:numPr>
          <w:ilvl w:val="0"/>
          <w:numId w:val="1"/>
        </w:numPr>
        <w:tabs>
          <w:tab w:val="left" w:pos="1200"/>
        </w:tabs>
        <w:ind w:right="-7" w:firstLine="850"/>
        <w:jc w:val="both"/>
        <w:rPr>
          <w:rFonts w:ascii="Times New Roman" w:eastAsia="Times New Roman" w:hAnsi="Times New Roman"/>
          <w:sz w:val="28"/>
          <w:szCs w:val="28"/>
        </w:rPr>
      </w:pPr>
      <w:r w:rsidRPr="00A24730">
        <w:rPr>
          <w:rFonts w:ascii="Times New Roman" w:eastAsia="Times New Roman" w:hAnsi="Times New Roman"/>
          <w:sz w:val="28"/>
          <w:szCs w:val="28"/>
        </w:rPr>
        <w:t xml:space="preserve">случайными изменениями потребляемой отдельным </w:t>
      </w:r>
      <w:proofErr w:type="spellStart"/>
      <w:r w:rsidRPr="00A24730">
        <w:rPr>
          <w:rFonts w:ascii="Times New Roman" w:eastAsia="Times New Roman" w:hAnsi="Times New Roman"/>
          <w:sz w:val="28"/>
          <w:szCs w:val="28"/>
        </w:rPr>
        <w:t>электроприемником</w:t>
      </w:r>
      <w:proofErr w:type="spellEnd"/>
      <w:r w:rsidRPr="00A24730">
        <w:rPr>
          <w:rFonts w:ascii="Times New Roman" w:eastAsia="Times New Roman" w:hAnsi="Times New Roman"/>
          <w:sz w:val="28"/>
          <w:szCs w:val="28"/>
        </w:rPr>
        <w:t>, цехом, предприятием мощности;</w:t>
      </w:r>
    </w:p>
    <w:p w:rsidR="00207BC9" w:rsidRPr="00A24730" w:rsidRDefault="00207BC9" w:rsidP="00207BC9">
      <w:pPr>
        <w:numPr>
          <w:ilvl w:val="0"/>
          <w:numId w:val="1"/>
        </w:numPr>
        <w:tabs>
          <w:tab w:val="left" w:pos="1200"/>
        </w:tabs>
        <w:ind w:right="-7" w:firstLine="850"/>
        <w:jc w:val="both"/>
        <w:rPr>
          <w:rFonts w:ascii="Times New Roman" w:eastAsia="Times New Roman" w:hAnsi="Times New Roman"/>
          <w:sz w:val="28"/>
          <w:szCs w:val="28"/>
        </w:rPr>
      </w:pPr>
      <w:r w:rsidRPr="00A24730">
        <w:rPr>
          <w:rFonts w:ascii="Times New Roman" w:eastAsia="Times New Roman" w:hAnsi="Times New Roman"/>
          <w:sz w:val="28"/>
          <w:szCs w:val="28"/>
        </w:rPr>
        <w:t>развитием предприятия: модернизацией электрооборудования, автоматизация производственных процессов работающих цехов и ввод новых цехов.</w:t>
      </w:r>
    </w:p>
    <w:p w:rsidR="00207BC9" w:rsidRPr="00A24730" w:rsidRDefault="00207BC9" w:rsidP="00207BC9">
      <w:pPr>
        <w:ind w:left="20" w:right="-7" w:firstLine="833"/>
        <w:jc w:val="both"/>
        <w:rPr>
          <w:rFonts w:ascii="Times New Roman" w:eastAsia="Times New Roman" w:hAnsi="Times New Roman"/>
          <w:sz w:val="28"/>
          <w:szCs w:val="28"/>
        </w:rPr>
      </w:pPr>
      <w:r w:rsidRPr="00A24730">
        <w:rPr>
          <w:rFonts w:ascii="Times New Roman" w:eastAsia="Times New Roman" w:hAnsi="Times New Roman"/>
          <w:sz w:val="28"/>
          <w:szCs w:val="28"/>
        </w:rPr>
        <w:t>В соответствии со сказанным выше координаты ЦЭН являются случайными величинами, которые могут с развитием предприятия измениться.</w:t>
      </w:r>
    </w:p>
    <w:p w:rsidR="00207BC9" w:rsidRPr="00A24730" w:rsidRDefault="00207BC9" w:rsidP="00207BC9">
      <w:pPr>
        <w:ind w:left="20" w:right="-7" w:firstLine="838"/>
        <w:jc w:val="both"/>
        <w:rPr>
          <w:rFonts w:ascii="Times New Roman" w:eastAsia="Times New Roman" w:hAnsi="Times New Roman"/>
          <w:sz w:val="28"/>
          <w:szCs w:val="28"/>
        </w:rPr>
      </w:pPr>
      <w:r w:rsidRPr="00A24730">
        <w:rPr>
          <w:rFonts w:ascii="Times New Roman" w:eastAsia="Times New Roman" w:hAnsi="Times New Roman"/>
          <w:sz w:val="28"/>
          <w:szCs w:val="28"/>
        </w:rPr>
        <w:t>Размещение подстанций в ЦЭН порой невозможно по технологическим условиям: координаты ЦЭН указывают на объект предприятия; прохождение воздушной линии питающей подстанцию место возможного нахождения подстанции запрещено по условиям безопасности. В этом случае подстанцию размещают в месте наиболее близком к ЦЭН, удовлетворяющим перечисленным выше условиям.</w:t>
      </w:r>
    </w:p>
    <w:p w:rsidR="00207BC9" w:rsidRPr="00A24730" w:rsidRDefault="00207BC9" w:rsidP="00207BC9">
      <w:pPr>
        <w:ind w:right="-7"/>
        <w:jc w:val="both"/>
        <w:rPr>
          <w:rFonts w:ascii="Times New Roman" w:eastAsia="Times New Roman" w:hAnsi="Times New Roman"/>
          <w:sz w:val="28"/>
          <w:szCs w:val="28"/>
        </w:rPr>
      </w:pPr>
    </w:p>
    <w:p w:rsidR="00762F32" w:rsidRDefault="00207BC9">
      <w:bookmarkStart w:id="1" w:name="_GoBack"/>
      <w:bookmarkEnd w:id="1"/>
    </w:p>
    <w:sectPr w:rsidR="00762F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F"/>
    <w:multiLevelType w:val="hybridMultilevel"/>
    <w:tmpl w:val="38437FD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BC9"/>
    <w:rsid w:val="00097047"/>
    <w:rsid w:val="00207BC9"/>
    <w:rsid w:val="007D5BD1"/>
    <w:rsid w:val="00BA5F3C"/>
    <w:rsid w:val="00D07E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BC9"/>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7BC9"/>
    <w:rPr>
      <w:rFonts w:ascii="Tahoma" w:hAnsi="Tahoma" w:cs="Tahoma"/>
      <w:sz w:val="16"/>
      <w:szCs w:val="16"/>
    </w:rPr>
  </w:style>
  <w:style w:type="character" w:customStyle="1" w:styleId="a4">
    <w:name w:val="Текст выноски Знак"/>
    <w:basedOn w:val="a0"/>
    <w:link w:val="a3"/>
    <w:uiPriority w:val="99"/>
    <w:semiHidden/>
    <w:rsid w:val="00207BC9"/>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BC9"/>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7BC9"/>
    <w:rPr>
      <w:rFonts w:ascii="Tahoma" w:hAnsi="Tahoma" w:cs="Tahoma"/>
      <w:sz w:val="16"/>
      <w:szCs w:val="16"/>
    </w:rPr>
  </w:style>
  <w:style w:type="character" w:customStyle="1" w:styleId="a4">
    <w:name w:val="Текст выноски Знак"/>
    <w:basedOn w:val="a0"/>
    <w:link w:val="a3"/>
    <w:uiPriority w:val="99"/>
    <w:semiHidden/>
    <w:rsid w:val="00207BC9"/>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657</Words>
  <Characters>3751</Characters>
  <Application>Microsoft Office Word</Application>
  <DocSecurity>0</DocSecurity>
  <Lines>31</Lines>
  <Paragraphs>8</Paragraphs>
  <ScaleCrop>false</ScaleCrop>
  <Company/>
  <LinksUpToDate>false</LinksUpToDate>
  <CharactersWithSpaces>4400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Асель Нургалиева</dc:creator>
  <cp:lastModifiedBy>Асель Нургалиева</cp:lastModifiedBy>
  <cp:revision>1</cp:revision>
  <dcterms:created xsi:type="dcterms:W3CDTF">2020-01-28T08:49:00Z</dcterms:created>
  <dcterms:modified xsi:type="dcterms:W3CDTF">2020-01-28T08:49:00Z</dcterms:modified>
</cp:coreProperties>
</file>