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34C8" w:rsidRDefault="002D2E60">
      <w:pPr>
        <w:rPr>
          <w:rFonts w:ascii="Times New Roman" w:hAnsi="Times New Roman" w:cs="Times New Roman"/>
          <w:b/>
          <w:sz w:val="28"/>
          <w:szCs w:val="28"/>
          <w:lang w:val="kk-KZ"/>
        </w:rPr>
      </w:pPr>
      <w:r w:rsidRPr="002D2E60">
        <w:rPr>
          <w:rFonts w:ascii="Times New Roman" w:hAnsi="Times New Roman" w:cs="Times New Roman"/>
          <w:b/>
          <w:sz w:val="28"/>
          <w:szCs w:val="28"/>
          <w:lang w:val="kk-KZ"/>
        </w:rPr>
        <w:t xml:space="preserve">ДӘРІС-11 </w:t>
      </w:r>
      <w:r w:rsidRPr="002D2E60">
        <w:rPr>
          <w:rFonts w:ascii="Times New Roman" w:hAnsi="Times New Roman" w:cs="Times New Roman"/>
          <w:b/>
          <w:sz w:val="28"/>
          <w:szCs w:val="28"/>
        </w:rPr>
        <w:t>ЕГІС БӨЛІМШЕСІ</w:t>
      </w:r>
    </w:p>
    <w:p w:rsidR="002D2E60" w:rsidRDefault="002D2E60">
      <w:pPr>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Орман өсіру жұмыстарының тиімділігі отырғызу материалының сапасына байланысты. Жоғары сапалы отырғызу материалы белгілі бір мөлшерде, барлық бөліктердің үйлесімді дамуы, олардың массаларының оңтайлы қатынасы және қажетті мөлшерде қоректік заттар жинақталған материал болып саналады. Мұндай материалды оңтайлы экологиялық жағдайда ғана өсіруге болады.</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Топырақтың құнарлылығын сақтау және арттыру, оның құрылымдық жағдайын қалпына келтіру, физикалық қасиеттерін жақсарту және ылғал жинау үшін ауыспалы егіс енгізіледі — питомникте өсірілетін дақылдардың жылдар мен өрістерге ауысуы. Қабылданған ауыспалы егіс кезінде дақылдардың толық ауысуы болатын жылдар саны ротация деп аталады.</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Ауыспалы егісті қолдану құнарлылықты арттыруға және топырақ құрылымын жақсартуға, ондағы ылғалдың жиналуына ықпал етеді, арамшөптермен күресуге мүмкіндік береді, сонымен қатар питомниктің жер учаскесін пайдалануға белгілі бір тәртіп енгізеді.</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Стандартты отырғызу материалының жоғары өнімділігі, ең алдымен, құнарлы және құрылымдық топырақты береді. Топырақтың жеке кесектерге бөліну қабілеті оның құрылымы деп аталады. Топырақтың құрылымы түйіршікті, түйіршікті, жаңғақ, бағаналы және т. б., бірақ ең қажет түйіршікті және түйіршікті, өлшемі 1-10 мм.</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 xml:space="preserve">Жиі қопсыту нәтижесінде питомниктерде отырғызу материалын өсіру кезінде топырақ құрылымы бұзылады. Мұндай топырақтарда отырғызу материалын өсіру өте қиын, сондықтан органикалық және жасыл (жасыл) тыңайтқыштарды қолдану, сондай-ақ шөп себу арқылы олардың құнарлылығын жақсарту қажет. Жылдық және көпжылдық шөптерді егу топырақ құрылымын қалпына келтіреді, ондағы органикалық заттардың жиналуына ықпал етеді. Егіс бөліміндегі ірі </w:t>
      </w:r>
      <w:r w:rsidRPr="002D2E60">
        <w:rPr>
          <w:rFonts w:ascii="Times New Roman" w:hAnsi="Times New Roman" w:cs="Times New Roman"/>
          <w:b/>
          <w:sz w:val="28"/>
          <w:szCs w:val="28"/>
          <w:lang w:val="kk-KZ"/>
        </w:rPr>
        <w:lastRenderedPageBreak/>
        <w:t>питомниктерде алты бұрышты, ал мектепте – бес бұрышты ауыспалы егіс қолданылады. Егіс бөлімшесінде шағын питомниктерде үш жылдық ауыспалы егіс қолданылады.</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Егіс бөлімшесіндегі ауыспалы егіс схемалары:</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Трехпольный:</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1-ші өріс-сидеральды бу (люпин, Вико қоспасы және т. б.) немесе органикалық тыңайтқыштар қосылған таза бу;</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2 – ші өріс-өсірудің бірінші жылының көшеттері; 3 – ші өріс-өсірудің екінші жылының көшеттері.</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Трехпольный:</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1 – ші өріс-қара немесе ерте бу;</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2 – ші егіс-өсірудің бірінші жылының көшеттері;</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3 – ші өріс-өсірудің екінші жылының көшеттері.</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Алтыбұрышты:</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1-ші өріс-сидеральды жұп;</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2-ші егіс-біржылдық көшеттер;</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3 – ші өріс-екіжылдық және біржылдық көшеттер;</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4-ші өріс-астыққа люпин; негізгі жер жыртуға органикалық және минералды тыңайтқыштарды енгізу;</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5-ші егіс-біржылдық көшеттер;</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6-шы өріс-біржылдық және екіжылдық көшеттер.</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Алтыбұрышты:</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1 – ші өріс-Шөпке сұлы қосылған вики егетін бос емес бу; негізгі жер жыртуға органикалық және минералды тыңайтқыштар енгізу;</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2-ші егіс-біржылдық көшеттер;</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3 – ші өріс-екі жылдық көшеттер;</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4-ші өріс-сидеральды жұп;</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5-ші егіс-біржылдық көшеттер:</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6-шы өріс-екіжылдық және жылдық көшеттер.</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Алтыбұрышты:</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1 – ші өріс-қара нар;</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2-ші егіс-біржылдық көшеттер;</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3 – ші өріс-екі жылдық көшеттер;</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4 – ші өріс-бос емес жұп;</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5-ші егіс-біржылдық көшеттер;</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6-шы өріс-екіжылдық және жылдық көшеттер.</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Ағаш және бұта тұқымдыларының көшеттері питомниктің егіс бөлімшесінде өсіріледі. Мұнда келесі жұмыстар жүргізіледі: топырақты негізгі және алдын-ала өңдеу, тұқым себу, көшеттер пайда болғанға дейін және өсірілген көшеттерге күтім жасау, сонымен қатар отырғызу материалдарын техникалық қабылдау, түгендеу, қазу және сақтау.</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Егіс бөлімшесінде Топырақтың негізгі өңделуі жер жырту, қара, ерте, сидеральды және бос емес бу жүйесі бойынша жүзеге асырылады. Негізгі жер жыртудың тереңдігі 18-20-дан 27-30 см-ге дейін.</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Топырақты себу алдында өңдеу: булануды азайту, микробиологиялық қызметті күшейту және егістік қабаттың тағамдық режимін жақсарту үшін тегістелген беті бар, түйіршіктерсіз және үлкен кесектерсіз топырақ қабатын құру; егістікті өскен арамшөптерден тазарту; кейінгі егіс жұмыстарын жүргізу үшін және ең алдымен тұқым себу үшін топырақ дайындау мақсатында жүргізіледі.</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Егіс алдындағы өңдеуге көктемгі топырақты қоқыссыз жырту, тырмалау, өсіру, тегістеу, тегістеу, фрезерлеу және жоталардың қолөнері кіруі мүмкін.</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Тұқым себу алдында олардың өнуін ынталандыратын және жеделдететін, сондай-ақ саңырауқұлақ аурулары мен жәндіктердің, кеміргіштер мен құстардың дақылдарына зақым келтірудің алдын алатын әдістер қолданылады.</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Дақылдар төсек және төсек жоқ. Көбінесе жоталар ені 0,9-1 м, биіктігі 10-15 см және одан жоғары 40 см қашықтықта жасалады. бақша дақылдары орман аймағында жеткілікті құрғатылған, нашар жылытылатын сорғыларда қолданылады. Жоталардағы тұқымдар әдетте бойлық жолдарға (ойықтарға) себіледі. Бұл жағдайда егу, дақылдарды күту және отырғызу материалын қазу жұмыстарын механикаландыруға болады. Тұқымдарды дәл (нүктелік) себу жақсы.</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Орман питомниктерінде ең кең қолдану төсек дақылдарынсыз алынды (тұқымдар топырақтың тегістелген бетіне себіледі). Бұл жағдайда трактордың доңғалағын себу кезінде, топырақты интерстициальды жолдарда 6-8 см тереңдікке итеріп, егу таспалары үшін жеткілікті дренаж жасаңыз. Ұсақ тұқымдарды себу үшін егу жолдары қысыммен жасалады, бұл судың тұқымға капиллярлық көтерілуін және олардың өсуіне жағдай жасайды.</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Ағаштар мен бұталардың тұқымдарын себу мерзімдері тұқымдардың биологиялық ерекшеліктеріне (тұқымның пісіп-жетілу мерзіміне, тұқымдық тыныштықтың ұзақтығына, көшеттердің қолайсыз ауа райы жағдайларына төзімділігіне және т.б.), топырақ-климаттық жағдайларға және көшеттерді өсіру агротехникасына байланысты.</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lastRenderedPageBreak/>
        <w:t>Ағаштар мен бұталардың тұқымдарын көктемде, күзде, жазда және қыста егуге болады, бірақ көктемгі дақылдар жиі кездеседі. Көктемгі дақылдар жақсы нәтиже береді, әсіресе орман аймағында және суармалы орман питомниктерінде. Көктемгі егіс кезінде топырақ себу сәтінен бастап көшеттер пайда болғанға дейін аз тығыздалады; кеміргіштермен және төмен қысқы температурамен дақылдарға зиян келтіру қаупі аз; көктемгі аяз аз қауіпті. Көктемде тұқымдар ылғалды топыраққа себіледі. Стратификацияланған тұқымдарды жылы, бірақ құрғаған топыраққа себу керек. Көктемгі дақылдардың кешігуі, әсіресе құрғақ жағдайда, топырақтың өнуінің төмендеуіне, көшеттер мөлшерінің азаюына және стандартты отырғызу материалының шығуына, себу нормасының жоғарылауына әкеледі. Ауыр, аз құрылымдық топырақтарда көктемгі Егістерге артықшылық беріледі, өйткені күзгі егістерде топырақ тез жүзеді. Күзгі дақылдар қысқы стратификацияны және тұқымдарды сақтауды болдырмайды, себу уақытын ұзартуға болады, көктемде көшеттер көктемгі дақылдарға қарағанда бірге және ертерек пайда болады, нәтижесінде құрғақ жерлерде өсімдіктер құрғақшылық басталғанға дейін күшейе түседі.</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Тұқымның тереңдігі тұқымның өнуіне және көшеттердің дамуына үлкен әсер етеді. Терең бітелген кезде тұқымдар ылғалмен жақсы қамтамасыз етіледі, бірақ көшеттерге топырақ қабатын тесу қиынырақ, сондықтан олар кейінірек бетіне шығады немесе өте терең бітелген кезде олар пайда болмайды. Кішкентай бітелген кезде тұқымдар топырақтың құрғақ қабатында болуы мүмкін және өліп кетуі мүмкін. Егу тереңдігі тұқымның ветчинасымен, топырақ-климаттық жағдайымен, себу уақытымен, жөндеу және мульчирование арқылы анықталады. Үлкен тұқымдарда қоректік заттардың көп мөлшері бар, сондықтан олар кішкентайларға қарағанда тереңірек жабылады.</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 xml:space="preserve">Жеңіл және борпылдақ топырақтарда (құмды және жеңіл сазды) топырақтың жоғарғы қабаттарының ылғалдылығы тұрақсыз, ал қашу бетіне оңай түседі, сондықтан бұл топырақтарда тұқымның тереңдігі ауыр топырақтарға қарағанда көп. Құрғақ жағдайда тұқымдар ылғалға қарағанда үлкен тереңдікке себіледі. Күзгі егістерде себу тереңдігі көктемге қарағанда үлкен, ал мульчирование немесе суару кезінде тұқымдар аз тереңдікке себіледі. Егілген тұқымдар дереу шымтезек пен </w:t>
      </w:r>
      <w:r w:rsidRPr="002D2E60">
        <w:rPr>
          <w:rFonts w:ascii="Times New Roman" w:hAnsi="Times New Roman" w:cs="Times New Roman"/>
          <w:b/>
          <w:sz w:val="28"/>
          <w:szCs w:val="28"/>
          <w:lang w:val="kk-KZ"/>
        </w:rPr>
        <w:lastRenderedPageBreak/>
        <w:t>құм, шымтезек компосты, шымтезек және т. б. қоспасы бар борпылдақ субстратпен жабылады.</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Тұқым себу нормасы өте маңызды. Егер себу нормасы төмендетілсе, сирек кездесетін дақылдар мен сирек көшеттер алынады. Нәтижесінде өсімдіктер алып жатқан аймақ толығымен пайдаланылмайды және отырғызу материалын өсіру шығындары артады. Жоғары себу нормалары көшеттердің тым тығыз орналасуына әкеледі, олардың арасында өсімдіктердің едәуір бөлігі дамымаған және отырғызуға жарамсыз болады. Бұл тығыз тұру жағдайында өсетін көшеттерде магистральдың диаметрі бойынша өсу мен тамыр массасының өсуіне зиян келтіретін биіктіктің өсуі байқалады, бұл өсімдіктердің жеке бөліктері арасындағы оңтайлы қатынастардың бұзылуына әкеледі. Мұндай отырғызу материалы тамырлап, мәдениеттерде өседі.</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Жоғары сапалы көшеттер алу үшін оңтайлы себу жылдамдығы болуы керек. Бұл жағдайда питомникте көшет өсірудің жоғары ауылшаруашылық технологиясымен отырғызу материалының аудан бірлігінен көбірек шығуы қамтамасыз етіледі, көшеттер жақсы дамыған тамыр жүйесін құрайды, қыста қалыпты дамыған апикальды бүршіктер салынады, өсімдіктің жеке бөліктерінің оңтайлы қатынасы бар, трансплантациядан кейін жоғары өмір сүруді және олардың мәдениеттерде өсуін қамтамасыз ететін қажетті қоректік заттарды жинайды.</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Тұқымның өсуіне қолайлы жағдай жасау үшін әр түрлі жолдар жүзеге асырылады, атап айтқанда: дақылдарды домалату, мульчирование, көшеттерді арамшөптер, топырақты қопсыту және суару.</w:t>
      </w:r>
    </w:p>
    <w:p w:rsidR="002D2E60" w:rsidRPr="002D2E60" w:rsidRDefault="002D2E60" w:rsidP="002D2E60">
      <w:pPr>
        <w:jc w:val="both"/>
        <w:rPr>
          <w:rFonts w:ascii="Times New Roman" w:hAnsi="Times New Roman" w:cs="Times New Roman"/>
          <w:b/>
          <w:sz w:val="28"/>
          <w:szCs w:val="28"/>
          <w:lang w:val="kk-KZ"/>
        </w:rPr>
      </w:pPr>
    </w:p>
    <w:p w:rsidR="002D2E60" w:rsidRP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t>Бөлшектерді топырақпен жақсы байланыстыру және судың тұқымға капиллярлық көтерілуін қамтамасыз ету үшін жұмсақ, жуылмайтын топырақтарда құрғақ көктемде домаланады.</w:t>
      </w:r>
    </w:p>
    <w:p w:rsidR="002D2E60" w:rsidRPr="002D2E60" w:rsidRDefault="002D2E60" w:rsidP="002D2E60">
      <w:pPr>
        <w:jc w:val="both"/>
        <w:rPr>
          <w:rFonts w:ascii="Times New Roman" w:hAnsi="Times New Roman" w:cs="Times New Roman"/>
          <w:b/>
          <w:sz w:val="28"/>
          <w:szCs w:val="28"/>
          <w:lang w:val="kk-KZ"/>
        </w:rPr>
      </w:pPr>
    </w:p>
    <w:p w:rsidR="002D2E60" w:rsidRDefault="002D2E60" w:rsidP="002D2E60">
      <w:pPr>
        <w:jc w:val="both"/>
        <w:rPr>
          <w:rFonts w:ascii="Times New Roman" w:hAnsi="Times New Roman" w:cs="Times New Roman"/>
          <w:b/>
          <w:sz w:val="28"/>
          <w:szCs w:val="28"/>
          <w:lang w:val="kk-KZ"/>
        </w:rPr>
      </w:pPr>
      <w:r w:rsidRPr="002D2E60">
        <w:rPr>
          <w:rFonts w:ascii="Times New Roman" w:hAnsi="Times New Roman" w:cs="Times New Roman"/>
          <w:b/>
          <w:sz w:val="28"/>
          <w:szCs w:val="28"/>
          <w:lang w:val="kk-KZ"/>
        </w:rPr>
        <w:lastRenderedPageBreak/>
        <w:t>Мульчирование-бұл топырақтың жоғарғы қабатындағы ылғалды сақтау, оның бетінде қыртыстың пайда болуына жол бермеу үшін топырақты әртүрлі материалдармен жабу.</w:t>
      </w:r>
    </w:p>
    <w:p w:rsidR="00323C56" w:rsidRDefault="00323C56" w:rsidP="002D2E60">
      <w:pPr>
        <w:jc w:val="both"/>
        <w:rPr>
          <w:rFonts w:ascii="Times New Roman" w:hAnsi="Times New Roman" w:cs="Times New Roman"/>
          <w:b/>
          <w:sz w:val="28"/>
          <w:szCs w:val="28"/>
          <w:lang w:val="kk-KZ"/>
        </w:rPr>
      </w:pPr>
    </w:p>
    <w:p w:rsidR="00323C56" w:rsidRDefault="00323C56" w:rsidP="00323C56">
      <w:pPr>
        <w:jc w:val="both"/>
        <w:rPr>
          <w:rFonts w:ascii="Times New Roman" w:hAnsi="Times New Roman" w:cs="Times New Roman"/>
          <w:sz w:val="28"/>
          <w:szCs w:val="28"/>
          <w:lang w:val="kk-KZ"/>
        </w:rPr>
      </w:pPr>
      <w:r w:rsidRPr="000D25A0">
        <w:rPr>
          <w:rFonts w:ascii="Times New Roman" w:hAnsi="Times New Roman" w:cs="Times New Roman"/>
          <w:sz w:val="28"/>
          <w:szCs w:val="28"/>
          <w:lang w:val="kk-KZ"/>
        </w:rPr>
        <w:t xml:space="preserve">Ұсынылатын әдебиеттер тізімі </w:t>
      </w:r>
    </w:p>
    <w:p w:rsidR="00323C56" w:rsidRPr="005B253B" w:rsidRDefault="00323C56" w:rsidP="00323C56">
      <w:pPr>
        <w:jc w:val="both"/>
        <w:rPr>
          <w:rFonts w:ascii="Times New Roman" w:hAnsi="Times New Roman" w:cs="Times New Roman"/>
          <w:sz w:val="28"/>
          <w:szCs w:val="28"/>
          <w:lang w:val="kk-KZ"/>
        </w:rPr>
      </w:pPr>
      <w:r w:rsidRPr="000D25A0">
        <w:rPr>
          <w:rFonts w:ascii="Times New Roman" w:hAnsi="Times New Roman" w:cs="Times New Roman"/>
          <w:sz w:val="28"/>
          <w:szCs w:val="28"/>
          <w:lang w:val="kk-KZ"/>
        </w:rPr>
        <w:t xml:space="preserve">1. Протасов А.Н. «Типы лесных культур Казахстана». – Алма-Ата, «Кайнар», 1965. </w:t>
      </w:r>
    </w:p>
    <w:p w:rsidR="00323C56" w:rsidRPr="005B253B" w:rsidRDefault="00323C56" w:rsidP="00323C56">
      <w:pPr>
        <w:jc w:val="both"/>
        <w:rPr>
          <w:rFonts w:ascii="Times New Roman" w:hAnsi="Times New Roman" w:cs="Times New Roman"/>
          <w:sz w:val="28"/>
          <w:szCs w:val="28"/>
          <w:lang w:val="kk-KZ"/>
        </w:rPr>
      </w:pPr>
      <w:r w:rsidRPr="005B253B">
        <w:rPr>
          <w:rFonts w:ascii="Times New Roman" w:hAnsi="Times New Roman" w:cs="Times New Roman"/>
          <w:sz w:val="28"/>
          <w:szCs w:val="28"/>
        </w:rPr>
        <w:t xml:space="preserve">2. Редько Г.И., Родин А.Р., </w:t>
      </w:r>
      <w:proofErr w:type="spellStart"/>
      <w:r w:rsidRPr="005B253B">
        <w:rPr>
          <w:rFonts w:ascii="Times New Roman" w:hAnsi="Times New Roman" w:cs="Times New Roman"/>
          <w:sz w:val="28"/>
          <w:szCs w:val="28"/>
        </w:rPr>
        <w:t>Трещевский</w:t>
      </w:r>
      <w:proofErr w:type="spellEnd"/>
      <w:r w:rsidRPr="005B253B">
        <w:rPr>
          <w:rFonts w:ascii="Times New Roman" w:hAnsi="Times New Roman" w:cs="Times New Roman"/>
          <w:sz w:val="28"/>
          <w:szCs w:val="28"/>
        </w:rPr>
        <w:t xml:space="preserve"> И.В. Лесные культуры. М., 1980, 1985. </w:t>
      </w:r>
    </w:p>
    <w:p w:rsidR="00323C56" w:rsidRPr="005B253B" w:rsidRDefault="00323C56" w:rsidP="00323C56">
      <w:pPr>
        <w:jc w:val="both"/>
        <w:rPr>
          <w:rFonts w:ascii="Times New Roman" w:hAnsi="Times New Roman" w:cs="Times New Roman"/>
          <w:sz w:val="28"/>
          <w:szCs w:val="28"/>
          <w:lang w:val="kk-KZ"/>
        </w:rPr>
      </w:pPr>
      <w:r w:rsidRPr="005B253B">
        <w:rPr>
          <w:rFonts w:ascii="Times New Roman" w:hAnsi="Times New Roman" w:cs="Times New Roman"/>
          <w:sz w:val="28"/>
          <w:szCs w:val="28"/>
        </w:rPr>
        <w:t xml:space="preserve">3. Медведев А.Н. – Лесные питомники в Казахстане. </w:t>
      </w:r>
      <w:proofErr w:type="spellStart"/>
      <w:r w:rsidRPr="005B253B">
        <w:rPr>
          <w:rFonts w:ascii="Times New Roman" w:hAnsi="Times New Roman" w:cs="Times New Roman"/>
          <w:sz w:val="28"/>
          <w:szCs w:val="28"/>
        </w:rPr>
        <w:t>Алматы</w:t>
      </w:r>
      <w:proofErr w:type="spellEnd"/>
      <w:r w:rsidRPr="005B253B">
        <w:rPr>
          <w:rFonts w:ascii="Times New Roman" w:hAnsi="Times New Roman" w:cs="Times New Roman"/>
          <w:sz w:val="28"/>
          <w:szCs w:val="28"/>
        </w:rPr>
        <w:t xml:space="preserve">, 1997. </w:t>
      </w:r>
    </w:p>
    <w:p w:rsidR="00323C56" w:rsidRPr="005B253B" w:rsidRDefault="00323C56" w:rsidP="00323C56">
      <w:pPr>
        <w:jc w:val="both"/>
        <w:rPr>
          <w:rFonts w:ascii="Times New Roman" w:hAnsi="Times New Roman" w:cs="Times New Roman"/>
          <w:sz w:val="28"/>
          <w:szCs w:val="28"/>
        </w:rPr>
      </w:pPr>
      <w:r w:rsidRPr="005B253B">
        <w:rPr>
          <w:rFonts w:ascii="Times New Roman" w:hAnsi="Times New Roman" w:cs="Times New Roman"/>
          <w:sz w:val="28"/>
          <w:szCs w:val="28"/>
        </w:rPr>
        <w:t xml:space="preserve">4. </w:t>
      </w:r>
      <w:proofErr w:type="spellStart"/>
      <w:r w:rsidRPr="005B253B">
        <w:rPr>
          <w:rFonts w:ascii="Times New Roman" w:hAnsi="Times New Roman" w:cs="Times New Roman"/>
          <w:sz w:val="28"/>
          <w:szCs w:val="28"/>
        </w:rPr>
        <w:t>Кентбаева</w:t>
      </w:r>
      <w:proofErr w:type="spellEnd"/>
      <w:r w:rsidRPr="005B253B">
        <w:rPr>
          <w:rFonts w:ascii="Times New Roman" w:hAnsi="Times New Roman" w:cs="Times New Roman"/>
          <w:sz w:val="28"/>
          <w:szCs w:val="28"/>
        </w:rPr>
        <w:t xml:space="preserve"> Б.А. Лесосеменное дело. - </w:t>
      </w:r>
      <w:proofErr w:type="spellStart"/>
      <w:r w:rsidRPr="005B253B">
        <w:rPr>
          <w:rFonts w:ascii="Times New Roman" w:hAnsi="Times New Roman" w:cs="Times New Roman"/>
          <w:sz w:val="28"/>
          <w:szCs w:val="28"/>
        </w:rPr>
        <w:t>Алматы</w:t>
      </w:r>
      <w:proofErr w:type="spellEnd"/>
      <w:r w:rsidRPr="005B253B">
        <w:rPr>
          <w:rFonts w:ascii="Times New Roman" w:hAnsi="Times New Roman" w:cs="Times New Roman"/>
          <w:sz w:val="28"/>
          <w:szCs w:val="28"/>
        </w:rPr>
        <w:t>, 2006</w:t>
      </w:r>
    </w:p>
    <w:p w:rsidR="00323C56" w:rsidRPr="005B253B" w:rsidRDefault="00323C56" w:rsidP="00323C56">
      <w:pPr>
        <w:jc w:val="both"/>
        <w:rPr>
          <w:rFonts w:ascii="Times New Roman" w:hAnsi="Times New Roman" w:cs="Times New Roman"/>
          <w:sz w:val="28"/>
          <w:szCs w:val="28"/>
        </w:rPr>
      </w:pPr>
      <w:r w:rsidRPr="005B253B">
        <w:rPr>
          <w:rFonts w:ascii="Times New Roman" w:hAnsi="Times New Roman" w:cs="Times New Roman"/>
          <w:sz w:val="28"/>
          <w:szCs w:val="28"/>
        </w:rPr>
        <w:t xml:space="preserve">5 </w:t>
      </w:r>
      <w:proofErr w:type="spellStart"/>
      <w:r w:rsidRPr="005B253B">
        <w:rPr>
          <w:rFonts w:ascii="Times New Roman" w:hAnsi="Times New Roman" w:cs="Times New Roman"/>
          <w:sz w:val="28"/>
          <w:szCs w:val="28"/>
        </w:rPr>
        <w:t>Байзаков</w:t>
      </w:r>
      <w:proofErr w:type="spellEnd"/>
      <w:r w:rsidRPr="005B253B">
        <w:rPr>
          <w:rFonts w:ascii="Times New Roman" w:hAnsi="Times New Roman" w:cs="Times New Roman"/>
          <w:sz w:val="28"/>
          <w:szCs w:val="28"/>
        </w:rPr>
        <w:t xml:space="preserve"> и др. Лесные культуры Казахстана. – </w:t>
      </w:r>
      <w:proofErr w:type="spellStart"/>
      <w:r w:rsidRPr="005B253B">
        <w:rPr>
          <w:rFonts w:ascii="Times New Roman" w:hAnsi="Times New Roman" w:cs="Times New Roman"/>
          <w:sz w:val="28"/>
          <w:szCs w:val="28"/>
        </w:rPr>
        <w:t>Алматы</w:t>
      </w:r>
      <w:proofErr w:type="spellEnd"/>
      <w:r w:rsidRPr="005B253B">
        <w:rPr>
          <w:rFonts w:ascii="Times New Roman" w:hAnsi="Times New Roman" w:cs="Times New Roman"/>
          <w:sz w:val="28"/>
          <w:szCs w:val="28"/>
        </w:rPr>
        <w:t xml:space="preserve">, 2 кн., 2007. </w:t>
      </w:r>
    </w:p>
    <w:p w:rsidR="00323C56" w:rsidRPr="005B253B" w:rsidRDefault="00323C56" w:rsidP="00323C56">
      <w:pPr>
        <w:jc w:val="both"/>
        <w:rPr>
          <w:rFonts w:ascii="Times New Roman" w:hAnsi="Times New Roman" w:cs="Times New Roman"/>
          <w:sz w:val="28"/>
          <w:szCs w:val="28"/>
        </w:rPr>
      </w:pPr>
      <w:r w:rsidRPr="005B253B">
        <w:rPr>
          <w:rFonts w:ascii="Times New Roman" w:hAnsi="Times New Roman" w:cs="Times New Roman"/>
          <w:sz w:val="28"/>
          <w:szCs w:val="28"/>
        </w:rPr>
        <w:t xml:space="preserve">6. </w:t>
      </w:r>
      <w:proofErr w:type="spellStart"/>
      <w:r w:rsidRPr="005B253B">
        <w:rPr>
          <w:rFonts w:ascii="Times New Roman" w:hAnsi="Times New Roman" w:cs="Times New Roman"/>
          <w:sz w:val="28"/>
          <w:szCs w:val="28"/>
        </w:rPr>
        <w:t>Кентбаев</w:t>
      </w:r>
      <w:proofErr w:type="spellEnd"/>
      <w:r w:rsidRPr="005B253B">
        <w:rPr>
          <w:rFonts w:ascii="Times New Roman" w:hAnsi="Times New Roman" w:cs="Times New Roman"/>
          <w:sz w:val="28"/>
          <w:szCs w:val="28"/>
        </w:rPr>
        <w:t xml:space="preserve"> Е.Ж., </w:t>
      </w:r>
      <w:proofErr w:type="spellStart"/>
      <w:r w:rsidRPr="005B253B">
        <w:rPr>
          <w:rFonts w:ascii="Times New Roman" w:hAnsi="Times New Roman" w:cs="Times New Roman"/>
          <w:sz w:val="28"/>
          <w:szCs w:val="28"/>
        </w:rPr>
        <w:t>Кентбаева</w:t>
      </w:r>
      <w:proofErr w:type="spellEnd"/>
      <w:r w:rsidRPr="005B253B">
        <w:rPr>
          <w:rFonts w:ascii="Times New Roman" w:hAnsi="Times New Roman" w:cs="Times New Roman"/>
          <w:sz w:val="28"/>
          <w:szCs w:val="28"/>
        </w:rPr>
        <w:t xml:space="preserve"> Б.А. Деревья и кустарники Казахстана для </w:t>
      </w:r>
      <w:proofErr w:type="spellStart"/>
      <w:r w:rsidRPr="005B253B">
        <w:rPr>
          <w:rFonts w:ascii="Times New Roman" w:hAnsi="Times New Roman" w:cs="Times New Roman"/>
          <w:sz w:val="28"/>
          <w:szCs w:val="28"/>
        </w:rPr>
        <w:t>лесовыращивания</w:t>
      </w:r>
      <w:proofErr w:type="spellEnd"/>
      <w:r w:rsidRPr="005B253B">
        <w:rPr>
          <w:rFonts w:ascii="Times New Roman" w:hAnsi="Times New Roman" w:cs="Times New Roman"/>
          <w:sz w:val="28"/>
          <w:szCs w:val="28"/>
        </w:rPr>
        <w:t xml:space="preserve">. – </w:t>
      </w:r>
      <w:proofErr w:type="spellStart"/>
      <w:r w:rsidRPr="005B253B">
        <w:rPr>
          <w:rFonts w:ascii="Times New Roman" w:hAnsi="Times New Roman" w:cs="Times New Roman"/>
          <w:sz w:val="28"/>
          <w:szCs w:val="28"/>
        </w:rPr>
        <w:t>Алматы</w:t>
      </w:r>
      <w:proofErr w:type="spellEnd"/>
      <w:r w:rsidRPr="005B253B">
        <w:rPr>
          <w:rFonts w:ascii="Times New Roman" w:hAnsi="Times New Roman" w:cs="Times New Roman"/>
          <w:sz w:val="28"/>
          <w:szCs w:val="28"/>
        </w:rPr>
        <w:t>, 2008.</w:t>
      </w:r>
    </w:p>
    <w:p w:rsidR="00323C56" w:rsidRPr="005B253B" w:rsidRDefault="00323C56" w:rsidP="00323C56">
      <w:pPr>
        <w:jc w:val="both"/>
        <w:rPr>
          <w:rFonts w:ascii="Times New Roman" w:hAnsi="Times New Roman" w:cs="Times New Roman"/>
          <w:sz w:val="28"/>
          <w:szCs w:val="28"/>
        </w:rPr>
      </w:pPr>
      <w:r w:rsidRPr="005B253B">
        <w:rPr>
          <w:rFonts w:ascii="Times New Roman" w:hAnsi="Times New Roman" w:cs="Times New Roman"/>
          <w:sz w:val="28"/>
          <w:szCs w:val="28"/>
        </w:rPr>
        <w:t xml:space="preserve"> 7. </w:t>
      </w:r>
      <w:proofErr w:type="spellStart"/>
      <w:r w:rsidRPr="005B253B">
        <w:rPr>
          <w:rFonts w:ascii="Times New Roman" w:hAnsi="Times New Roman" w:cs="Times New Roman"/>
          <w:sz w:val="28"/>
          <w:szCs w:val="28"/>
        </w:rPr>
        <w:t>Кентбаев</w:t>
      </w:r>
      <w:proofErr w:type="spellEnd"/>
      <w:r w:rsidRPr="005B253B">
        <w:rPr>
          <w:rFonts w:ascii="Times New Roman" w:hAnsi="Times New Roman" w:cs="Times New Roman"/>
          <w:sz w:val="28"/>
          <w:szCs w:val="28"/>
        </w:rPr>
        <w:t xml:space="preserve"> Е.Ж., </w:t>
      </w:r>
      <w:proofErr w:type="spellStart"/>
      <w:r w:rsidRPr="005B253B">
        <w:rPr>
          <w:rFonts w:ascii="Times New Roman" w:hAnsi="Times New Roman" w:cs="Times New Roman"/>
          <w:sz w:val="28"/>
          <w:szCs w:val="28"/>
        </w:rPr>
        <w:t>Кентбаева</w:t>
      </w:r>
      <w:proofErr w:type="spellEnd"/>
      <w:r w:rsidRPr="005B253B">
        <w:rPr>
          <w:rFonts w:ascii="Times New Roman" w:hAnsi="Times New Roman" w:cs="Times New Roman"/>
          <w:sz w:val="28"/>
          <w:szCs w:val="28"/>
        </w:rPr>
        <w:t xml:space="preserve"> Б.А. Лесосеменное дело // Электронный учебник. – </w:t>
      </w:r>
      <w:proofErr w:type="spellStart"/>
      <w:r w:rsidRPr="005B253B">
        <w:rPr>
          <w:rFonts w:ascii="Times New Roman" w:hAnsi="Times New Roman" w:cs="Times New Roman"/>
          <w:sz w:val="28"/>
          <w:szCs w:val="28"/>
        </w:rPr>
        <w:t>Алматы</w:t>
      </w:r>
      <w:proofErr w:type="spellEnd"/>
      <w:r w:rsidRPr="005B253B">
        <w:rPr>
          <w:rFonts w:ascii="Times New Roman" w:hAnsi="Times New Roman" w:cs="Times New Roman"/>
          <w:sz w:val="28"/>
          <w:szCs w:val="28"/>
        </w:rPr>
        <w:t>, 2009.</w:t>
      </w:r>
    </w:p>
    <w:p w:rsidR="00323C56" w:rsidRPr="000D25A0" w:rsidRDefault="00323C56" w:rsidP="00323C56">
      <w:pPr>
        <w:jc w:val="both"/>
        <w:rPr>
          <w:rFonts w:ascii="Times New Roman" w:hAnsi="Times New Roman" w:cs="Times New Roman"/>
          <w:b/>
          <w:sz w:val="28"/>
          <w:szCs w:val="28"/>
        </w:rPr>
      </w:pPr>
    </w:p>
    <w:p w:rsidR="00323C56" w:rsidRPr="00323C56" w:rsidRDefault="00323C56" w:rsidP="002D2E60">
      <w:pPr>
        <w:jc w:val="both"/>
        <w:rPr>
          <w:rFonts w:ascii="Times New Roman" w:hAnsi="Times New Roman" w:cs="Times New Roman"/>
          <w:b/>
          <w:sz w:val="28"/>
          <w:szCs w:val="28"/>
        </w:rPr>
      </w:pPr>
    </w:p>
    <w:sectPr w:rsidR="00323C56" w:rsidRPr="00323C56" w:rsidSect="00B734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2D2E60"/>
    <w:rsid w:val="002D2E60"/>
    <w:rsid w:val="00323C56"/>
    <w:rsid w:val="00B734C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34C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1489</Words>
  <Characters>8490</Characters>
  <Application>Microsoft Office Word</Application>
  <DocSecurity>0</DocSecurity>
  <Lines>70</Lines>
  <Paragraphs>19</Paragraphs>
  <ScaleCrop>false</ScaleCrop>
  <Company/>
  <LinksUpToDate>false</LinksUpToDate>
  <CharactersWithSpaces>9960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2020-08-17T07:56:00Z</dcterms:created>
  <dcterms:modified xsi:type="dcterms:W3CDTF">2020-08-17T07:58:00Z</dcterms:modified>
</cp:coreProperties>
</file>