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964A1F" w14:textId="77777777" w:rsidR="003E1342" w:rsidRPr="003E1342" w:rsidRDefault="003E1342" w:rsidP="003E1342">
      <w:pPr>
        <w:ind w:firstLine="709"/>
        <w:jc w:val="both"/>
        <w:rPr>
          <w:sz w:val="28"/>
          <w:szCs w:val="28"/>
        </w:rPr>
      </w:pPr>
      <w:r w:rsidRPr="003E1342">
        <w:rPr>
          <w:sz w:val="28"/>
          <w:szCs w:val="28"/>
        </w:rPr>
        <w:t>3 тақырып. Зияткерлік капиталға инвестициялардың орындылығын бағалау</w:t>
      </w:r>
    </w:p>
    <w:p w14:paraId="41A64D52" w14:textId="77777777" w:rsidR="003E1342" w:rsidRPr="003E1342" w:rsidRDefault="003E1342" w:rsidP="003E1342">
      <w:pPr>
        <w:ind w:firstLine="709"/>
        <w:jc w:val="both"/>
        <w:rPr>
          <w:sz w:val="28"/>
          <w:szCs w:val="28"/>
        </w:rPr>
      </w:pPr>
      <w:r w:rsidRPr="003E1342">
        <w:rPr>
          <w:sz w:val="28"/>
          <w:szCs w:val="28"/>
        </w:rPr>
        <w:t>1. Кәсіпорынның зияткерлік-инновациялық қызметінің мәні</w:t>
      </w:r>
    </w:p>
    <w:p w14:paraId="23F11643" w14:textId="77777777" w:rsidR="003E1342" w:rsidRPr="003E1342" w:rsidRDefault="003E1342" w:rsidP="003E1342">
      <w:pPr>
        <w:ind w:firstLine="709"/>
        <w:jc w:val="both"/>
        <w:rPr>
          <w:sz w:val="28"/>
          <w:szCs w:val="28"/>
        </w:rPr>
      </w:pPr>
      <w:r w:rsidRPr="003E1342">
        <w:rPr>
          <w:sz w:val="28"/>
          <w:szCs w:val="28"/>
        </w:rPr>
        <w:t>2. Білім беруге инвестициялау ерекшеліктері</w:t>
      </w:r>
    </w:p>
    <w:p w14:paraId="72EFC926" w14:textId="77777777" w:rsidR="003E1342" w:rsidRPr="003E1342" w:rsidRDefault="003E1342" w:rsidP="003E1342">
      <w:pPr>
        <w:ind w:firstLine="709"/>
        <w:jc w:val="both"/>
        <w:rPr>
          <w:sz w:val="28"/>
          <w:szCs w:val="28"/>
        </w:rPr>
      </w:pPr>
      <w:r w:rsidRPr="003E1342">
        <w:rPr>
          <w:sz w:val="28"/>
          <w:szCs w:val="28"/>
        </w:rPr>
        <w:t>3. Зияткерлік меншікті коммерцияландыру</w:t>
      </w:r>
    </w:p>
    <w:p w14:paraId="7404BB93" w14:textId="77777777" w:rsidR="003E1342" w:rsidRPr="003E1342" w:rsidRDefault="003E1342" w:rsidP="003E1342">
      <w:pPr>
        <w:ind w:firstLine="709"/>
        <w:jc w:val="both"/>
        <w:rPr>
          <w:sz w:val="28"/>
          <w:szCs w:val="28"/>
        </w:rPr>
      </w:pPr>
    </w:p>
    <w:p w14:paraId="749CF182" w14:textId="77777777" w:rsidR="003E1342" w:rsidRPr="003E1342" w:rsidRDefault="003E1342" w:rsidP="003E1342">
      <w:pPr>
        <w:ind w:firstLine="709"/>
        <w:jc w:val="both"/>
        <w:rPr>
          <w:sz w:val="28"/>
          <w:szCs w:val="28"/>
        </w:rPr>
      </w:pPr>
      <w:r w:rsidRPr="003E1342">
        <w:rPr>
          <w:sz w:val="28"/>
          <w:szCs w:val="28"/>
        </w:rPr>
        <w:t>Ресурстардың жекелеген түрлерінің маңыздылығы индустрияға дейінгі индустриядан индустриялық және постиндустриялық технологияға көшуіне қарай өзгереді.</w:t>
      </w:r>
    </w:p>
    <w:p w14:paraId="43E9F2DA" w14:textId="77777777" w:rsidR="003E1342" w:rsidRPr="003E1342" w:rsidRDefault="003E1342" w:rsidP="003E1342">
      <w:pPr>
        <w:ind w:firstLine="709"/>
        <w:jc w:val="both"/>
        <w:rPr>
          <w:sz w:val="28"/>
          <w:szCs w:val="28"/>
        </w:rPr>
      </w:pPr>
      <w:r w:rsidRPr="003E1342">
        <w:rPr>
          <w:sz w:val="28"/>
          <w:szCs w:val="28"/>
        </w:rPr>
        <w:t>Бұл доиндустриальном қоғамда басымдық тиесілі табиғи және еңбек ресурстары,</w:t>
      </w:r>
    </w:p>
    <w:p w14:paraId="01165AF5" w14:textId="77777777" w:rsidR="003E1342" w:rsidRPr="003E1342" w:rsidRDefault="003E1342" w:rsidP="003E1342">
      <w:pPr>
        <w:ind w:firstLine="709"/>
        <w:jc w:val="both"/>
        <w:rPr>
          <w:sz w:val="28"/>
          <w:szCs w:val="28"/>
        </w:rPr>
      </w:pPr>
      <w:r w:rsidRPr="003E1342">
        <w:rPr>
          <w:sz w:val="28"/>
          <w:szCs w:val="28"/>
        </w:rPr>
        <w:t>индустриялық-материалдық,</w:t>
      </w:r>
    </w:p>
    <w:p w14:paraId="51AC209A" w14:textId="77777777" w:rsidR="003E1342" w:rsidRPr="003E1342" w:rsidRDefault="003E1342" w:rsidP="003E1342">
      <w:pPr>
        <w:ind w:firstLine="709"/>
        <w:jc w:val="both"/>
        <w:rPr>
          <w:sz w:val="28"/>
          <w:szCs w:val="28"/>
        </w:rPr>
      </w:pPr>
      <w:r w:rsidRPr="003E1342">
        <w:rPr>
          <w:sz w:val="28"/>
          <w:szCs w:val="28"/>
        </w:rPr>
        <w:t>постиндустриалды-интеллектуалды және ақпараттық ресурстарда.</w:t>
      </w:r>
    </w:p>
    <w:p w14:paraId="536B853E" w14:textId="77777777" w:rsidR="003E1342" w:rsidRPr="003E1342" w:rsidRDefault="003E1342" w:rsidP="003E1342">
      <w:pPr>
        <w:ind w:firstLine="709"/>
        <w:jc w:val="both"/>
        <w:rPr>
          <w:sz w:val="28"/>
          <w:szCs w:val="28"/>
        </w:rPr>
      </w:pPr>
    </w:p>
    <w:p w14:paraId="5EE383E6" w14:textId="77777777" w:rsidR="003E1342" w:rsidRPr="003E1342" w:rsidRDefault="003E1342" w:rsidP="003E1342">
      <w:pPr>
        <w:ind w:firstLine="709"/>
        <w:jc w:val="both"/>
        <w:rPr>
          <w:sz w:val="28"/>
          <w:szCs w:val="28"/>
        </w:rPr>
      </w:pPr>
      <w:r w:rsidRPr="003E1342">
        <w:rPr>
          <w:sz w:val="28"/>
          <w:szCs w:val="28"/>
        </w:rPr>
        <w:t>1-СҰРАҚ</w:t>
      </w:r>
    </w:p>
    <w:p w14:paraId="5947E95E" w14:textId="77777777" w:rsidR="003E1342" w:rsidRPr="003E1342" w:rsidRDefault="003E1342" w:rsidP="003E1342">
      <w:pPr>
        <w:ind w:firstLine="709"/>
        <w:jc w:val="both"/>
        <w:rPr>
          <w:sz w:val="28"/>
          <w:szCs w:val="28"/>
        </w:rPr>
      </w:pPr>
      <w:r w:rsidRPr="003E1342">
        <w:rPr>
          <w:sz w:val="28"/>
          <w:szCs w:val="28"/>
        </w:rPr>
        <w:t>1. Кәсіпорынның зияткерлік-инновациялық қызметінің мәні</w:t>
      </w:r>
    </w:p>
    <w:p w14:paraId="36D09AAF" w14:textId="77777777" w:rsidR="003E1342" w:rsidRPr="003E1342" w:rsidRDefault="003E1342" w:rsidP="003E1342">
      <w:pPr>
        <w:ind w:firstLine="709"/>
        <w:jc w:val="both"/>
        <w:rPr>
          <w:sz w:val="28"/>
          <w:szCs w:val="28"/>
        </w:rPr>
      </w:pPr>
      <w:r w:rsidRPr="003E1342">
        <w:rPr>
          <w:sz w:val="28"/>
          <w:szCs w:val="28"/>
        </w:rPr>
        <w:t>Ең дұрысы, зияткерлік капиталды айналудың үшінші сатысында алынатын табыстардың бір бөлігі ұйымның зияткерлік әлеуетін арттыру, көбейту үшін, ИК тұрақты қозғалысын және айналуын қамтамасыз ету үшін пайдаланылуы тиіс.</w:t>
      </w:r>
    </w:p>
    <w:p w14:paraId="7BCAF5C0" w14:textId="77777777" w:rsidR="003E1342" w:rsidRPr="003E1342" w:rsidRDefault="003E1342" w:rsidP="003E1342">
      <w:pPr>
        <w:ind w:firstLine="709"/>
        <w:jc w:val="both"/>
        <w:rPr>
          <w:sz w:val="28"/>
          <w:szCs w:val="28"/>
        </w:rPr>
      </w:pPr>
      <w:r w:rsidRPr="003E1342">
        <w:rPr>
          <w:sz w:val="28"/>
          <w:szCs w:val="28"/>
        </w:rPr>
        <w:t>Ұйымның зияткерлік-инновациялық қызметінің табысты дамуын қамтамасыз ететін, оның зияткерлік әлеуетін арттыруға және зияткерлік меншіктің барлық жаңа және жаңа объектілерін тиімді іске асыруға мүмкіндік беретін жаңа әзірлемелерге арналған мақсатты Инвестициялар қандай болуы тиіс?</w:t>
      </w:r>
    </w:p>
    <w:p w14:paraId="3442C036" w14:textId="77777777" w:rsidR="003E1342" w:rsidRPr="003E1342" w:rsidRDefault="003E1342" w:rsidP="003E1342">
      <w:pPr>
        <w:ind w:firstLine="709"/>
        <w:jc w:val="both"/>
        <w:rPr>
          <w:sz w:val="28"/>
          <w:szCs w:val="28"/>
        </w:rPr>
      </w:pPr>
      <w:r w:rsidRPr="003E1342">
        <w:rPr>
          <w:sz w:val="28"/>
          <w:szCs w:val="28"/>
        </w:rPr>
        <w:t>Ең алдымен, өндірістің қандай ұйымдары мен салаларында зияткерлік капиталды ұлғайтуды инвестициялаудың тиімдірек екенін айқындау қажет. Мұны di зияткерлік капиталын пайдалану тиімділігінің көрсеткішін талдау негізінде жасауға болады. Бұл көрсеткіштің шамасы неғұрлым көп болған сайын, ұйымның зияткерлік-инновациялық қызметін инвестициялаудың орындылығы соғұрлым оның зияткерлік әлеуетін арттыруға ақша салу тиімдірек.</w:t>
      </w:r>
    </w:p>
    <w:p w14:paraId="7FD49C06" w14:textId="77777777" w:rsidR="003E1342" w:rsidRPr="003E1342" w:rsidRDefault="003E1342" w:rsidP="003E1342">
      <w:pPr>
        <w:ind w:firstLine="709"/>
        <w:jc w:val="both"/>
        <w:rPr>
          <w:sz w:val="28"/>
          <w:szCs w:val="28"/>
        </w:rPr>
      </w:pPr>
      <w:r w:rsidRPr="003E1342">
        <w:rPr>
          <w:sz w:val="28"/>
          <w:szCs w:val="28"/>
        </w:rPr>
        <w:t>Өнеркәсіптік өндіріс салалары үшін мұндай көрсеткіш роялтидің (R) МӘНІ БОЛЫП ТАБЫЛАДЫ.</w:t>
      </w:r>
    </w:p>
    <w:p w14:paraId="1A728C2A" w14:textId="77777777" w:rsidR="003E1342" w:rsidRPr="003E1342" w:rsidRDefault="003E1342" w:rsidP="003E1342">
      <w:pPr>
        <w:ind w:firstLine="709"/>
        <w:jc w:val="both"/>
        <w:rPr>
          <w:sz w:val="28"/>
          <w:szCs w:val="28"/>
        </w:rPr>
      </w:pPr>
      <w:r w:rsidRPr="003E1342">
        <w:rPr>
          <w:sz w:val="28"/>
          <w:szCs w:val="28"/>
        </w:rPr>
        <w:t>РОЯЛТИ-лицензия бойынша сатылатын өнім көлемінен тіркелген ставка бойынша мерзімді аударымдар. Бұл жағдайда төлемдердің есебі нақты пайда бойынша жүргізіледі, бұл лицензиарға да, лицензиатқа да тиімді. Төлемдер сату көлемінен, салық салынатын кірістен, таза пайдадан және т. б. аударымдар нысанында болуы мүмкін.</w:t>
      </w:r>
    </w:p>
    <w:p w14:paraId="3777F602" w14:textId="77777777" w:rsidR="003E1342" w:rsidRPr="003E1342" w:rsidRDefault="003E1342" w:rsidP="003E1342">
      <w:pPr>
        <w:ind w:firstLine="709"/>
        <w:jc w:val="both"/>
        <w:rPr>
          <w:sz w:val="28"/>
          <w:szCs w:val="28"/>
        </w:rPr>
      </w:pPr>
      <w:r w:rsidRPr="003E1342">
        <w:rPr>
          <w:sz w:val="28"/>
          <w:szCs w:val="28"/>
        </w:rPr>
        <w:t>Америкалық Kodak фирмасы америкалық Polaroid фирмасының бір сәттік әрекет ететін тұрмыстық фотоаппараттарға патенттерін бұзған. Патент иесінің талап-арызы бойынша сот процесі он жылдан астам уақытқа созылды. Нәтижесінде АҚШ Жоғарғы Сотының шешімі бойынша Kodak фирмасы патент иесіне $494 млн. төледі.</w:t>
      </w:r>
    </w:p>
    <w:p w14:paraId="102580E6" w14:textId="77777777" w:rsidR="003E1342" w:rsidRPr="003E1342" w:rsidRDefault="003E1342" w:rsidP="003E1342">
      <w:pPr>
        <w:ind w:firstLine="709"/>
        <w:jc w:val="both"/>
        <w:rPr>
          <w:sz w:val="28"/>
          <w:szCs w:val="28"/>
        </w:rPr>
      </w:pPr>
      <w:r w:rsidRPr="003E1342">
        <w:rPr>
          <w:sz w:val="28"/>
          <w:szCs w:val="28"/>
        </w:rPr>
        <w:lastRenderedPageBreak/>
        <w:t>Sony фирмасының басшысы Акио Морита ұзақ мерзімді жұмыспен келген адалдық жоқ кезде, ақпарат ағуы мен ұрлықты аяқтауға мүмкіндік жоқ деп мәлімдеді.</w:t>
      </w:r>
    </w:p>
    <w:p w14:paraId="09CEA6B0" w14:textId="77777777" w:rsidR="003E1342" w:rsidRPr="003E1342" w:rsidRDefault="003E1342" w:rsidP="003E1342">
      <w:pPr>
        <w:ind w:firstLine="709"/>
        <w:jc w:val="both"/>
        <w:rPr>
          <w:sz w:val="28"/>
          <w:szCs w:val="28"/>
        </w:rPr>
      </w:pPr>
      <w:r w:rsidRPr="003E1342">
        <w:rPr>
          <w:sz w:val="28"/>
          <w:szCs w:val="28"/>
        </w:rPr>
        <w:t>Барлауға жұмсалатын орташа шығындар ірі концерндердің сауда айналымының 1,5% — ын құрайды (Mitsubishi 30 адам патенттермен, 50 адам — технологиялармен және т.б. айналысады), ал қорғауға жұмсалатын шығындар-өндіріске жұмсалатын шығындардың 10-15% - ын құрайды. Жыл сайынғы залал американдық бизнес коммерциялық құпияны жария еткен шамамен $4 млрд.</w:t>
      </w:r>
    </w:p>
    <w:p w14:paraId="57DD6B14" w14:textId="77777777" w:rsidR="003E1342" w:rsidRPr="003E1342" w:rsidRDefault="003E1342" w:rsidP="003E1342">
      <w:pPr>
        <w:ind w:firstLine="709"/>
        <w:jc w:val="both"/>
        <w:rPr>
          <w:sz w:val="28"/>
          <w:szCs w:val="28"/>
        </w:rPr>
      </w:pPr>
      <w:r w:rsidRPr="003E1342">
        <w:rPr>
          <w:sz w:val="28"/>
          <w:szCs w:val="28"/>
        </w:rPr>
        <w:t>Бұл көрсеткіштердің шамалары нарықтың мүмкіндіктерін, өнімді тұтынушылардың оны жетілдіру кезінде қол жеткізілген сапаны, демек, пайдаланылған зияткерлік капиталды төлеу мүмкіндігін сипаттайды.</w:t>
      </w:r>
    </w:p>
    <w:p w14:paraId="6461C07F" w14:textId="77777777" w:rsidR="003E1342" w:rsidRPr="003E1342" w:rsidRDefault="003E1342" w:rsidP="003E1342">
      <w:pPr>
        <w:ind w:firstLine="709"/>
        <w:jc w:val="both"/>
        <w:rPr>
          <w:sz w:val="28"/>
          <w:szCs w:val="28"/>
        </w:rPr>
      </w:pPr>
      <w:r w:rsidRPr="003E1342">
        <w:rPr>
          <w:sz w:val="28"/>
          <w:szCs w:val="28"/>
        </w:rPr>
        <w:t>Ұйымның зияткерлік капиталына инвестициялар шығарылатын жерде тиімдірек болады:</w:t>
      </w:r>
    </w:p>
    <w:p w14:paraId="1522A700" w14:textId="77777777" w:rsidR="003E1342" w:rsidRPr="003E1342" w:rsidRDefault="003E1342" w:rsidP="003E1342">
      <w:pPr>
        <w:ind w:firstLine="709"/>
        <w:jc w:val="both"/>
        <w:rPr>
          <w:sz w:val="28"/>
          <w:szCs w:val="28"/>
        </w:rPr>
      </w:pPr>
      <w:r w:rsidRPr="003E1342">
        <w:rPr>
          <w:sz w:val="28"/>
          <w:szCs w:val="28"/>
        </w:rPr>
        <w:t>-- аса қымбат өнімдер, мысалы авиация және ғарыш, барлық түрдегі қару-жарақ, радиоэлектроника және т. б.;</w:t>
      </w:r>
    </w:p>
    <w:p w14:paraId="6D6D5CD3" w14:textId="77777777" w:rsidR="003E1342" w:rsidRPr="003E1342" w:rsidRDefault="003E1342" w:rsidP="003E1342">
      <w:pPr>
        <w:ind w:firstLine="709"/>
        <w:jc w:val="both"/>
        <w:rPr>
          <w:sz w:val="28"/>
          <w:szCs w:val="28"/>
        </w:rPr>
      </w:pPr>
      <w:r w:rsidRPr="003E1342">
        <w:rPr>
          <w:sz w:val="28"/>
          <w:szCs w:val="28"/>
        </w:rPr>
        <w:t>-- өндіруге және сатуға арналған шығындар оның нарықтық құнына қатысты болмашы өнім, мысалы Ақпараттық технологиялар (ақпарат тасығыштарды дайындауға және сатуға арналған шығындар оларға жазылған бағдарламалық өнімдердің құнынан айтарлықтай төмен);</w:t>
      </w:r>
    </w:p>
    <w:p w14:paraId="178F02D7" w14:textId="77777777" w:rsidR="003E1342" w:rsidRPr="003E1342" w:rsidRDefault="003E1342" w:rsidP="003E1342">
      <w:pPr>
        <w:ind w:firstLine="709"/>
        <w:jc w:val="both"/>
        <w:rPr>
          <w:sz w:val="28"/>
          <w:szCs w:val="28"/>
        </w:rPr>
      </w:pPr>
      <w:r w:rsidRPr="003E1342">
        <w:rPr>
          <w:sz w:val="28"/>
          <w:szCs w:val="28"/>
        </w:rPr>
        <w:t>-- сату көлемі үлкен өнім, мысалы, көптеген тұрмыстық құралдар, заманауи медициналық жабдықтар, байланыс жүйелері;</w:t>
      </w:r>
    </w:p>
    <w:p w14:paraId="646CB311" w14:textId="77777777" w:rsidR="003E1342" w:rsidRPr="003E1342" w:rsidRDefault="003E1342" w:rsidP="003E1342">
      <w:pPr>
        <w:ind w:firstLine="709"/>
        <w:jc w:val="both"/>
        <w:rPr>
          <w:sz w:val="28"/>
          <w:szCs w:val="28"/>
        </w:rPr>
      </w:pPr>
      <w:r w:rsidRPr="003E1342">
        <w:rPr>
          <w:sz w:val="28"/>
          <w:szCs w:val="28"/>
        </w:rPr>
        <w:t>-- роялтидің үлкен мәні бар өнеркәсіптік өндіріс салаларының өнімдері, мысалы ұшақ жасау және ғарыш, қару-жарақ, станок жасау, кеме жасау, электроника және т. б .</w:t>
      </w:r>
    </w:p>
    <w:p w14:paraId="391E7F86" w14:textId="77777777" w:rsidR="003E1342" w:rsidRPr="003E1342" w:rsidRDefault="003E1342" w:rsidP="003E1342">
      <w:pPr>
        <w:ind w:firstLine="709"/>
        <w:jc w:val="both"/>
        <w:rPr>
          <w:sz w:val="28"/>
          <w:szCs w:val="28"/>
        </w:rPr>
      </w:pPr>
    </w:p>
    <w:p w14:paraId="2450C5BB" w14:textId="620F042E" w:rsidR="003E1342" w:rsidRPr="00177840" w:rsidRDefault="003E1342" w:rsidP="003E1342">
      <w:pPr>
        <w:ind w:firstLine="709"/>
        <w:jc w:val="both"/>
        <w:rPr>
          <w:sz w:val="28"/>
          <w:szCs w:val="28"/>
        </w:rPr>
      </w:pPr>
      <w:r w:rsidRPr="003E1342">
        <w:rPr>
          <w:sz w:val="28"/>
          <w:szCs w:val="28"/>
        </w:rPr>
        <w:t>Бұдан басқа, зияткерлік еңбекті ынталандыру және корпоративтік мәдениетті дамытуға салым салу, біліктілігін арттыру, зияткерлік капиталды дамытудың осы сатысында мамандарды оқыту және қайта даярлау ұйым құрылған инновациялық және зияткерлік өнімді өткізуден алған кірістерімен айқындалуға тиіс.</w:t>
      </w:r>
    </w:p>
    <w:p w14:paraId="1BA28C60" w14:textId="45EFF426" w:rsidR="003E1342" w:rsidRDefault="003E1342" w:rsidP="003E1342">
      <w:pPr>
        <w:autoSpaceDE w:val="0"/>
        <w:autoSpaceDN w:val="0"/>
        <w:adjustRightInd w:val="0"/>
        <w:ind w:firstLine="709"/>
        <w:jc w:val="both"/>
        <w:rPr>
          <w:rFonts w:eastAsia="Times-Bold"/>
          <w:b/>
          <w:bCs/>
          <w:sz w:val="28"/>
          <w:szCs w:val="28"/>
        </w:rPr>
      </w:pPr>
    </w:p>
    <w:p w14:paraId="36B47D85"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Қорытындылар</w:t>
      </w:r>
    </w:p>
    <w:p w14:paraId="454035E0"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1. Зияткерлік капиталды тиімді пайдалану үшін оның айналудың үш сатысынан кейін тұйық схема бойынша тұрақты қозғалысын қамтамасыз ету қажет:</w:t>
      </w:r>
    </w:p>
    <w:p w14:paraId="4B5FB50E"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зияткерлік әлеуетті, Кадрлық капиталды және зияткерлік меншікті құру және өсіру;</w:t>
      </w:r>
    </w:p>
    <w:p w14:paraId="31B1BC65"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инновациялық өнімдер мен зияткерлік өнімдердің зияткерлік құрамдастарын құру;</w:t>
      </w:r>
    </w:p>
    <w:p w14:paraId="0A952E29"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АК-ны іске асырудан кіріс алу және алынатын кірістерден аударымдар және жаңа инновациялық жобаларды инвестициялау есебінен зияткерлік капиталды одан әрі көбейту.</w:t>
      </w:r>
    </w:p>
    <w:p w14:paraId="1818889B" w14:textId="77777777" w:rsidR="003E1342" w:rsidRPr="003E1342" w:rsidRDefault="003E1342" w:rsidP="003E1342">
      <w:pPr>
        <w:autoSpaceDE w:val="0"/>
        <w:autoSpaceDN w:val="0"/>
        <w:adjustRightInd w:val="0"/>
        <w:ind w:firstLine="709"/>
        <w:jc w:val="both"/>
        <w:rPr>
          <w:rFonts w:eastAsia="Times-Bold"/>
          <w:bCs/>
          <w:sz w:val="28"/>
          <w:szCs w:val="28"/>
        </w:rPr>
      </w:pPr>
    </w:p>
    <w:p w14:paraId="003D4E25"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2 сұрақ</w:t>
      </w:r>
    </w:p>
    <w:p w14:paraId="4AEB9EE2"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lastRenderedPageBreak/>
        <w:t>2. Білім беруге инвестициялау ерекшеліктері</w:t>
      </w:r>
    </w:p>
    <w:p w14:paraId="4C3B1BD8" w14:textId="77777777" w:rsidR="003E1342" w:rsidRPr="003E1342" w:rsidRDefault="003E1342" w:rsidP="003E1342">
      <w:pPr>
        <w:autoSpaceDE w:val="0"/>
        <w:autoSpaceDN w:val="0"/>
        <w:adjustRightInd w:val="0"/>
        <w:ind w:firstLine="709"/>
        <w:jc w:val="both"/>
        <w:rPr>
          <w:rFonts w:eastAsia="Times-Bold"/>
          <w:bCs/>
          <w:sz w:val="28"/>
          <w:szCs w:val="28"/>
        </w:rPr>
      </w:pPr>
    </w:p>
    <w:p w14:paraId="12A80A3C"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Адам капиталының теориясы әрқашан білім беру салымдарының жоғары тиімділігіне негізделген. Білім беру арқылы адамға салынған салымдардың тиімділігінің барлық зерттеулері Оқу мерзімінің ұлғаюына қарай оның өсуін көрсетті, бұл жағдайда қаржы бөлудің рентабельділігі физикалық капиталға салынған салымдардың табыстылығынан әлдеқайда асып түсті. Бұл қорытындылар дамыған капиталистік елдерде ағарту және кадрларды даярлау саласын бұрын-соңды болмаған дамыту үшін теориялық негіз болды. Білім беруге арналған шығындар өндірістік емес тұтыну бабы ретінде емес, инвестициялардың неғұрлым тиімді түрлерінің бірі ретінде қоғамдық пікірмен қабылдана бастады.</w:t>
      </w:r>
    </w:p>
    <w:p w14:paraId="539D4E54"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Білім берудің экономикалық тиімділігінің көрсеткіштерін есептеуді жүргізу үшін адам капиталына инвестициялар (білім беруге арналған шығыстар) жұмысшының еңбек өнімділігінің ұлғаюын туындатады, бұл өз кезегінде неғұрлым жоғары табыс әкеледі деген болжам негіз болып табылады. Білім берудің экономикалық тиімділігі білім алуға келетін тікелей ақшалай табыстардың және оны алуға байланысты шығындардың арақатынасымен айқындалады. Білім берудің әртүрлі сатыларының жеке және қоғамдық Ішкі табыстылық нормасының көрсеткіштерін есептеуге негізделген білім беруге инвестициялардың экономикалық тиімділігін бағалаудың дәстүрлі әдістемелеріне экономикалық әдебиетте үлкен көңіл бөлінген.</w:t>
      </w:r>
    </w:p>
    <w:p w14:paraId="54D2BEA3" w14:textId="77777777" w:rsidR="003E1342" w:rsidRPr="003E1342" w:rsidRDefault="003E1342" w:rsidP="003E1342">
      <w:pPr>
        <w:autoSpaceDE w:val="0"/>
        <w:autoSpaceDN w:val="0"/>
        <w:adjustRightInd w:val="0"/>
        <w:ind w:firstLine="709"/>
        <w:jc w:val="both"/>
        <w:rPr>
          <w:rFonts w:eastAsia="Times-Bold"/>
          <w:bCs/>
          <w:sz w:val="28"/>
          <w:szCs w:val="28"/>
        </w:rPr>
      </w:pPr>
    </w:p>
    <w:p w14:paraId="33E8500D"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Алайда, еңбек ресурстарына Инвестициялар тиімділігінің проблемасын қарастыра отырып, ақшалай кірістерден басқа ақшалай емес, олар білім беруге, денсаулық сақтауға және т.б. қаржы салымдарын беру нормаларының есептерінде ескерілмейді.</w:t>
      </w:r>
    </w:p>
    <w:p w14:paraId="7253DE95"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Білім беру еңбек жағдайына, жұмыссыздық деңгейіне үлкен әсер етеді:</w:t>
      </w:r>
    </w:p>
    <w:p w14:paraId="168EEE7F"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жақсы білім беру дайындығы бар адамдардың еңбек жағдайы, әдетте, неғұрлым қолайлы.</w:t>
      </w:r>
    </w:p>
    <w:p w14:paraId="04603510"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білімді адамдарға жұмысқа орналасу оңай,</w:t>
      </w:r>
    </w:p>
    <w:p w14:paraId="79E05FC1"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--олар аз физикалық жүктемені сезінеді,</w:t>
      </w:r>
    </w:p>
    <w:p w14:paraId="2FC6711D"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шешім қабылдау кезінде үлкен дербестік алады,</w:t>
      </w:r>
    </w:p>
    <w:p w14:paraId="6AEE4511"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--оларда бірдей еңбек сипаты аз,</w:t>
      </w:r>
    </w:p>
    <w:p w14:paraId="51DC8DB8"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басқа адамдармен қарым-қатынас жасау үшін көп мүмкіндіктер бар.</w:t>
      </w:r>
    </w:p>
    <w:p w14:paraId="15359F18" w14:textId="77777777" w:rsidR="003E1342" w:rsidRPr="003E1342" w:rsidRDefault="003E1342" w:rsidP="003E1342">
      <w:pPr>
        <w:autoSpaceDE w:val="0"/>
        <w:autoSpaceDN w:val="0"/>
        <w:adjustRightInd w:val="0"/>
        <w:ind w:firstLine="709"/>
        <w:jc w:val="both"/>
        <w:rPr>
          <w:rFonts w:eastAsia="Times-Bold"/>
          <w:bCs/>
          <w:sz w:val="28"/>
          <w:szCs w:val="28"/>
        </w:rPr>
      </w:pPr>
    </w:p>
    <w:p w14:paraId="452507A0"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Білім адам қызметінің әр түрлі түрлерінің және еңбек нарығынан тыс тиімділігін арттырады: ол тұлғаның дамуына және Тәуелсіздік пен өзіне сенімділік, адамдармен қарым-қатынаста икемділік пен шыдамдылық, сенімсіздік, эстетикалық және мәдени құндылықтарға құрмет, зияткерлік сұраныстарды арттыру сияқты қасиеттерді иемденуге ықпал етеді.</w:t>
      </w:r>
    </w:p>
    <w:p w14:paraId="38A26FE6"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xml:space="preserve">Білім беру шешім қабылдау қабілеті, коммуникабельділік, уақытты тиімді бөлу сияқты дағдылардың қалыптасуына әсер етеді.мұндай дағдылар мен сапалар еңбек нарығында ғана емес, сонымен қатар бейресми </w:t>
      </w:r>
      <w:r w:rsidRPr="003E1342">
        <w:rPr>
          <w:rFonts w:eastAsia="Times-Bold"/>
          <w:bCs/>
          <w:sz w:val="28"/>
          <w:szCs w:val="28"/>
        </w:rPr>
        <w:lastRenderedPageBreak/>
        <w:t>байланыстарды орнату кезінде (клубқа кіру, достарды таңдау), ұзақ пайдаланылатын тауарларды сатып алу және т. б. Білім адам капиталының қалыптасуына, яғни одан әрі білім беруге, өндірістен қол үзбей оқытуға, денсаулықты сақтауға, көші-қонға үлкен әсер етеді.</w:t>
      </w:r>
    </w:p>
    <w:p w14:paraId="4AAB9E2D"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Адамдар өмірінің едәуір бөлігі еңбек және капитал нарығынан тыс өтеді. Бұл қызмет өзінің бос уақытын, тұрмысын ұйымдастыру. Білім алу денсаулыққа, некедегі табысқа оң әсер етеді, сондай-ақ бос уақытты тұтыну мен пайдалануға неғұрлым ұтымды тәсілді көздейді. Осылайша, кейбір батыс экономистері тұтынушылық тауарлар нарығында білімді адамдардың ең жақсы бағдары оларға осы сападағы тауарларды неғұрлым төмен бағамен және осы бағалар бойынша неғұрлым жоғары сапалы тауарларды сатып алуда қосымша пайда береді деп сендіреді.</w:t>
      </w:r>
    </w:p>
    <w:p w14:paraId="34DFF319"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Білім беру және оны алуға байланысты мектептерге, колледждерге және т.б. бару оқушылар арасында белгілі бір достық қарым-қатынас орнатуға әкеп соқты. Білім үміткерлерді таңдауды және ерлі-зайыптылар жұптарын қалыптастыруды жеңілдетеді. Әйелінің білім деңгейінің өсуі күйеуінің табысына оң әсер етеді деп саналады. Осындай әсер ету жатыр әсерін неғұрлым білімді әйелінің мінез-күйеуінің еңбек нарығында, оның денсаулығы. Ата-аналарға білім беру олардың балаларының қабілеттерінің және білім берудің маңызды детерминанты болып табылады.</w:t>
      </w:r>
    </w:p>
    <w:p w14:paraId="0E7DDC41" w14:textId="77777777" w:rsidR="003E1342" w:rsidRPr="003E1342" w:rsidRDefault="003E1342" w:rsidP="003E1342">
      <w:pPr>
        <w:autoSpaceDE w:val="0"/>
        <w:autoSpaceDN w:val="0"/>
        <w:adjustRightInd w:val="0"/>
        <w:ind w:firstLine="709"/>
        <w:jc w:val="both"/>
        <w:rPr>
          <w:rFonts w:eastAsia="Times-Bold"/>
          <w:bCs/>
          <w:sz w:val="28"/>
          <w:szCs w:val="28"/>
        </w:rPr>
      </w:pPr>
    </w:p>
    <w:p w14:paraId="0D7758BF"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Білім берудің жалпы қоғамның дамуына әсері туралы да есте сақтау қажет. Білім берудің бұл әсерлері әдетте "әлеуметтік интеграция" және "қоғамның тұрақтылығы"тақырыбында қолданылады. Білім беруден алынатын ақшалай емес табыстардың барлық түрлерін ескере отырып, білім берудің әлеуметтік тиімділігіне ие екендігін нақты сеніммен айтуға болады.</w:t>
      </w:r>
    </w:p>
    <w:p w14:paraId="36945487" w14:textId="77777777" w:rsidR="003E1342" w:rsidRPr="003E1342" w:rsidRDefault="003E1342" w:rsidP="003E1342">
      <w:pPr>
        <w:autoSpaceDE w:val="0"/>
        <w:autoSpaceDN w:val="0"/>
        <w:adjustRightInd w:val="0"/>
        <w:ind w:firstLine="709"/>
        <w:jc w:val="both"/>
        <w:rPr>
          <w:rFonts w:eastAsia="Times-Bold"/>
          <w:bCs/>
          <w:sz w:val="28"/>
          <w:szCs w:val="28"/>
        </w:rPr>
      </w:pPr>
    </w:p>
    <w:p w14:paraId="737BA145"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Осы жұмыста жүргізілген зерттеу 1952 жылдан 1994 жылға дейінгі кезеңде білім деңгейі әртүрлі адамдардың үлес салмағының өзгеруі, сондай-ақ білім деңгейі мен өмір сүру ұзақтығы, білімі және әртүрлі білім беру дайындығы бар халықтың жұмыссыздық деңгейі арасындағы өзара байланыс білім берудің әлеуметтік тиімділігінің кейбір аспектілерін сипаттайды.</w:t>
      </w:r>
    </w:p>
    <w:p w14:paraId="68E6D949"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Жоғары білім деңгейі бар адамдар орта есеппен ұзақ өмір сүреді. Бұл жақсы білім беру дайындығы бар адамдардың өздерінің "денсаулық капиталын" тиімді пайдалану мүмкіндіктері көп болуына байланысты-салауатты өмір салтын жүргізеді, әдетте, зиянды және қауіпті еңбек жағдайларымен байланысты емес мамандықтарды таңдайды,медициналық қызметтерді орынды пайдаланады.</w:t>
      </w:r>
    </w:p>
    <w:p w14:paraId="7B2AC438"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АҚШ-та еңбекке қабілетті жастағы ерлер арасындағы жұмыссыздық деңгейі (кесте.3), білім мен жұмыссыздық деңгейі арасындағы күшті корреляциялық байланыс туралы куәландырады.</w:t>
      </w:r>
    </w:p>
    <w:p w14:paraId="32B69E77" w14:textId="77777777" w:rsidR="003E1342" w:rsidRPr="003E1342" w:rsidRDefault="003E1342" w:rsidP="003E1342">
      <w:pPr>
        <w:autoSpaceDE w:val="0"/>
        <w:autoSpaceDN w:val="0"/>
        <w:adjustRightInd w:val="0"/>
        <w:ind w:firstLine="709"/>
        <w:jc w:val="both"/>
        <w:rPr>
          <w:rFonts w:eastAsia="Times-Bold"/>
          <w:bCs/>
          <w:sz w:val="28"/>
          <w:szCs w:val="28"/>
        </w:rPr>
      </w:pPr>
    </w:p>
    <w:p w14:paraId="22EA1A77"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3 сұрақ.</w:t>
      </w:r>
    </w:p>
    <w:p w14:paraId="0A061BE7"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Зияткерлік меншікті коммерцияландыру</w:t>
      </w:r>
    </w:p>
    <w:p w14:paraId="27692A23" w14:textId="77777777" w:rsidR="003E1342" w:rsidRPr="003E1342" w:rsidRDefault="003E1342" w:rsidP="003E1342">
      <w:pPr>
        <w:autoSpaceDE w:val="0"/>
        <w:autoSpaceDN w:val="0"/>
        <w:adjustRightInd w:val="0"/>
        <w:ind w:firstLine="709"/>
        <w:jc w:val="both"/>
        <w:rPr>
          <w:rFonts w:eastAsia="Times-Bold"/>
          <w:bCs/>
          <w:sz w:val="28"/>
          <w:szCs w:val="28"/>
        </w:rPr>
      </w:pPr>
    </w:p>
    <w:p w14:paraId="0882438E"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lastRenderedPageBreak/>
        <w:t>Зияткерлік меншікті коммерцияландыру-кәсіпорынның шаруашылық қызметінде зияткерлік меншікті пайдалану. Ол бірқатар практикалық артықшылықтарды алуға мүмкіндік береді:</w:t>
      </w:r>
    </w:p>
    <w:p w14:paraId="086652F7"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зияткерлік меншік иелері кәсіпорынның жарғылық капиталына зияткерлік меншік объектілерін енгізу жолымен нақты ақшалай қаражатты Бөлмей фирмалардың құрылтайшылары бола алады;</w:t>
      </w:r>
    </w:p>
    <w:p w14:paraId="58897FEE"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зияткерлік меншікті пайдалану құқығын беру үшін қосымша табыс алуға болады;</w:t>
      </w:r>
    </w:p>
    <w:p w14:paraId="2DFDC220"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оны несие алу кезінде кепіл ретінде пайдалануға болады;</w:t>
      </w:r>
    </w:p>
    <w:p w14:paraId="7B0D1858"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нарыққа жаңа өнім шығару кезеңінде бәсекелестерден қорғауды, сондай-ақ жосықсыз бәсекелестіктен қорғауды қамтамасыз етеді;</w:t>
      </w:r>
    </w:p>
    <w:p w14:paraId="406BD630"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шығарылатын өнімнің құқықтық қорғалуы немесе белгілі өндірушінің лицензиясының жұмысы туралы ақпарат беру кезінде сатып алушыда жарнамалық Имидж құруға ықпал етеді;</w:t>
      </w:r>
    </w:p>
    <w:p w14:paraId="0404D0C6"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салық салынатын базаны материалдық емес активтердің амортизациясы шамасына және зияткерлік меншік объектілерін құруға жұмсалған шығындар шамасына азайту жолымен пайдаға салынатын салықты азайтуға, сондай-ақ егер мәміле патенттік, лицензиялық немесе авторлық шарт ретінде ресімделсе, қосылған құн салығын азайтуға мүмкіндік береді.</w:t>
      </w:r>
    </w:p>
    <w:p w14:paraId="47C9ED88"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Зияткерлік меншікпен коммерциялық операцияларды құжаттық ресімдеу: ғылыми-техникалық өнімді құру және беру туралы шарт, ҒЗТКЖ орындау туралы шарт, авторлық, лицензиялық, құрылтай шарты, франшиза және т. б. түрінде болуы мүмкін.</w:t>
      </w:r>
    </w:p>
    <w:p w14:paraId="28AA5DB0"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Зияткерлік меншік объектілерінің құны оларды сатып алған жағдайда нарықтық құны бойынша материалдық емес активтердің құрамында немесе жоспарланған мақсаттарда пайдалануға жарамды жағдайға жеткізу шығыстарын ескере отырып, оларды өз күшімен дайындаған кезде шығындар сомасы ретінде есепке алу мен есептілікте көрсетіледі.</w:t>
      </w:r>
    </w:p>
    <w:p w14:paraId="21763544" w14:textId="606C5390" w:rsid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Interhrand консалтингтік компаниясының деректері бойынша, IBM -17 : 83 компаниясындағы, Coca-Cola компаниясындағы материалдық және материалдық емес активтердің пайыздық арақатынасы — 4 :96.</w:t>
      </w:r>
    </w:p>
    <w:p w14:paraId="5F517555"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Материалдық емес активтер-оның иелеріне белгілі бір табысты немесе өзге пайданы қамтамасыз ететін, құны бар және материалдық-заттай нысаны жоқ не материалдық-заттай нысаны оларды шаруашылық қызметте пайдалану үшін елеулі маңызы жоқ ұзақ мерзімді құқықтар.</w:t>
      </w:r>
    </w:p>
    <w:p w14:paraId="530F3550"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Бухгалтерлік есеп жөніндегі Ережеге сәйкес материалдық емес активтердің есебі (ҚБҚ 14/2000) материалдық емес активтерге:</w:t>
      </w:r>
    </w:p>
    <w:p w14:paraId="097D2C6F"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патент иеленушінің өнертабысқа, өнеркәсіптік үлгіге, пайдалы модельге айрықша құқығы;</w:t>
      </w:r>
    </w:p>
    <w:p w14:paraId="221E6728"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ЭЕМ және деректер базасына арналған бағдарламаларға айрықша авторлық құқық;</w:t>
      </w:r>
    </w:p>
    <w:p w14:paraId="0368324A"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автордың немесе өзге құқық иеленушінің Интегралды микросхемалар топологиясына мүліктік құқығы;</w:t>
      </w:r>
    </w:p>
    <w:p w14:paraId="4F5E02AB"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тауар таңбасына және қызмет көрсету таңбасына, тауар шығарылған жердің атауына иесінің айрықша құқығы;</w:t>
      </w:r>
    </w:p>
    <w:p w14:paraId="64994664"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lastRenderedPageBreak/>
        <w:t>* патент иеленушінің селекциялық жетістіктерге айрықша құқығы;</w:t>
      </w:r>
    </w:p>
    <w:p w14:paraId="672E5639"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ұйымның іскерлік беделі және ұйымдастыру шығындары •</w:t>
      </w:r>
    </w:p>
    <w:p w14:paraId="77AEB81F"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Материалдық емес активтерге жатпайды:</w:t>
      </w:r>
    </w:p>
    <w:p w14:paraId="04DA814A"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ҒЗТКЖ оң нәтиже бермеген;</w:t>
      </w:r>
    </w:p>
    <w:p w14:paraId="4D9EA975"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аяқталмаған және ресімделмеген ҒЗТКЖ;</w:t>
      </w:r>
    </w:p>
    <w:p w14:paraId="5AD7C279"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қызметкерлердің зияткерлік және іскерлік қасиеттері •</w:t>
      </w:r>
    </w:p>
    <w:p w14:paraId="224C750D"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Құқық иеленушінің айрықша құқықтары сақталған жағдайда пайдалануға берген материалдық емес активтер есептен шығарылмайды және ұйымда-құқық иеленушіде бухгалтерлік есепте оқшауланған көрсетуге жатады; сол жерде-амортизацияны есептеу.</w:t>
      </w:r>
    </w:p>
    <w:p w14:paraId="6A332612"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Амортизацияның нормаларын ұйым олардың пайдалы әрекетінің белгіленген мерзімін негізге ала отырып айқындайды. Пайдалы пайдалану мерзімін анықтау мүмкін емес материалдық емес активтер бойынша құнын ауыстыру нормалары 10 жылға арналған есепте белгіленеді.</w:t>
      </w:r>
    </w:p>
    <w:p w14:paraId="47488324"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Э. Брукинг ұсынған материалдық емес активтерді жіктеу зияткерлік меншікті, нарықтық, адами және инфрақұрылымдық активтерді қамтиды.</w:t>
      </w:r>
    </w:p>
    <w:p w14:paraId="43DBC68F"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Зияткерлік активтер-ақыл-ой қызметінің нәтижесі ретінде сатып алынған және заңмен қорғалған активтер. Зияткерлік меншікке патенттер, авторлық құқықтар, тауар белгілері, коммерциялық құпия (ноу-хау) жатады.</w:t>
      </w:r>
    </w:p>
    <w:p w14:paraId="615D248E"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Патенттің құндылығы оның иесіне монополияны патенттелген өнертабысқа 20 жылға дейінгі мерзімге бекітіп береді. Баспа ісінде, бағдарламалық қамтамасыз етуді жасауда пайдаланылатын баспа символдарына қатысты авторлық құқықтар да қорғалуға жатады. Коммерциялық құпия жарияламау туралы шарттармен қорғалады, бірақ ең жақсы қорғаныс — үнсіздік. Coca-Cola формуласын екі адам біледі, бірақ әркім тек жарым формулаға ие.</w:t>
      </w:r>
    </w:p>
    <w:p w14:paraId="4D5035CD"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Нарықтық активтер-компанияның нарықтағы өзінің тиімді позициясының және сатып алушылармен жақсы қарым-қатынасының арқасында ие болатын активтер: іскерлік бедел, клиенттік база, тапсырыстар портфелі, бөлу арналары, лицензиялау, франшиза және т. б. сияқты түрлі келісімшарттар мен келісімдер.</w:t>
      </w:r>
    </w:p>
    <w:p w14:paraId="192CC7A0"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Нарықтық активтер компанияларды сыртқы ортадағы бәсекелестік артықшылығын қамтамасыз етеді. Клиенттік база тұрақты сатуды қамтамасыз етеді, оның нәтижесі тапсырыстардың тиімді портфелі болып табылады. Өңделген тарату арналары барлық әлеуетті клиенттерге қызмет көрсетуге және тауарлар мен қызметтерді сатудан барынша пайда алуға кепілдік береді. Контрактілердің қолайлы шарттары тиімді және кепілді жағдайларда жарнамалау немесе сауда делдалдығы сияқты қызметтерді пайдалануға мүмкіндік береді, бұл компанияға осындай артықшылықтарға қол жеткізе алмайтын бәсекелестерден артықшылық береді.</w:t>
      </w:r>
    </w:p>
    <w:p w14:paraId="65F309E8"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Адам активтері-бұл кәсіпорын қызметкерлерінің ұжымдық білімдерінің, олардың шығармашылық қабілеттерінің, мәселелерді шеше білімдерінің, көшбасшылық қасиеттерінің, кәсіпкерлік және басқару дағдыларының жиынтығы.</w:t>
      </w:r>
    </w:p>
    <w:p w14:paraId="37CFFFBE"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lastRenderedPageBreak/>
        <w:t>Инфрақұрылымдық активтер — бұл кәсіпорынның жұмысын мүлде мүмкін ететін технологиялар, әдістер мен процестер. Корпоративтік Инфрақұрылым келесі элементтерді қамтиды:</w:t>
      </w:r>
    </w:p>
    <w:p w14:paraId="4192FC88"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басқару философиясы;</w:t>
      </w:r>
    </w:p>
    <w:p w14:paraId="3EEEC573"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корпоративтік мәдениет;</w:t>
      </w:r>
    </w:p>
    <w:p w14:paraId="691990A9"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басқару процестері;</w:t>
      </w:r>
    </w:p>
    <w:p w14:paraId="14CF92F7"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Ақпараттық технологиялар;</w:t>
      </w:r>
    </w:p>
    <w:p w14:paraId="7A45D2F6"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желілік байланыс жүйелері;</w:t>
      </w:r>
    </w:p>
    <w:p w14:paraId="63BB2146"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Іскерлік байланыстар •</w:t>
      </w:r>
    </w:p>
    <w:p w14:paraId="1CF868A7"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Басқару философиясы Компания басшылығының компанияның өзіне және оның қызметкерлеріне қатысты ұғымдарында көрініс табады. Әрбір уақыт адамдардың жұмысқа итермелейтін уәждерін және осы мақсатта қолданылатын ынталандыруларды көрсететін өзінің басқару философиясымен сипатталады. Уақыт сәйкес келмейтін басқару философиясы активке қарағанда пассив болып табылады. Философияның ең көп тараған түрлері: жетілдіру, сенім және сапаны жалпыға бірдей бақылау философиясы. Жетілдіру философиясы менеджерлерді де, қызметкерлерді үнемі жақсартуға ұмтылуға шақырады: бірде-бір күн қандай да бір, шағын болсын, қандай да бір компаниядағы жақсартуларсыз өтпеуі тиіс. Сенім философиясы басқарудың демократиялық әдістеріне шақырады: сенімге ие болған қызметкер бастаманы өз қолына алып, шешім қабылдауға қатыса алады. Сапаны жалпыға бірдей бақылау философиясы осы мәселеге барлық қызметкерлерді тарту жолымен әзірлеудің және өндірістің барлық сатыларында тауарлардың тиісті сапасын қамтамасыз ету мақсаты бар.</w:t>
      </w:r>
    </w:p>
    <w:p w14:paraId="00D38991"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Корпоративтік мәдениет-ұйымға тән іс-әрекет бейнесі. Оған барлық қызметкерлер мойындайтын құндылықтар, идеалдар, әдет-ғұрыптар мен салт-дәстүрлер кіреді.</w:t>
      </w:r>
    </w:p>
    <w:p w14:paraId="4E512A4F"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Корпоративтік мәдениеттің бірнеше түрі белгілі:</w:t>
      </w:r>
    </w:p>
    <w:p w14:paraId="1AD1001B"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--Табанды жұмыс істейміз — толық катушкаға демаламыз,</w:t>
      </w:r>
    </w:p>
    <w:p w14:paraId="5EFDBDDC"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Қауіп жоқ, ол шампанды ішпейді,</w:t>
      </w:r>
    </w:p>
    <w:p w14:paraId="476987A6"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 Адалдық пен сенімділік.</w:t>
      </w:r>
    </w:p>
    <w:p w14:paraId="3685C645"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Басқару процестері — барлық басқару деңгейлерінде басқару философиясын іске асыру механизмі.</w:t>
      </w:r>
    </w:p>
    <w:p w14:paraId="45140C2C"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Ақпараттық технологиялар, егер көптеген басқару процестерін жүзеге асыруды тиімді жүзеге асырса, активтер болып табылады. Мұнда компьютерлердің құны туралы емес, олардың өнімділікке, сатып алушыларға қызмет көрсету деңгейіне, персоналдың жұмыс сапасына және т. б. әсері туралы сөз болып отыр.</w:t>
      </w:r>
    </w:p>
    <w:p w14:paraId="2D23DC49"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Желілік байланыс жүйелері ақпаратты алу және беру процесін жеделдетеді. Интернет корпоративтік маркетинг құралы және тарату арнасы ретінде пайдаланылуы мүмкін. Өткізіледі телекоммуникациялық қызметкерлері</w:t>
      </w:r>
      <w:r w:rsidRPr="003E1342">
        <w:rPr>
          <w:rFonts w:ascii="Cambria Math" w:eastAsia="Times-Bold" w:hAnsi="Cambria Math" w:cs="Cambria Math"/>
          <w:bCs/>
          <w:sz w:val="28"/>
          <w:szCs w:val="28"/>
        </w:rPr>
        <w:t>≫</w:t>
      </w:r>
      <w:r w:rsidRPr="003E1342">
        <w:rPr>
          <w:rFonts w:eastAsia="Times-Bold"/>
          <w:bCs/>
          <w:sz w:val="28"/>
          <w:szCs w:val="28"/>
        </w:rPr>
        <w:t xml:space="preserve"> шықпайтын үйінің қызметкерлері, айтарлықтай төмендетеді шығындар үй-жайларды жалға алу.</w:t>
      </w:r>
    </w:p>
    <w:p w14:paraId="53C6B05D" w14:textId="77777777" w:rsidR="003E1342" w:rsidRP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lastRenderedPageBreak/>
        <w:t>Іскерлік байланыстар-инвесторлармен, банктермен және нарықтың басқа да субъектілерімен қолайлы қатынастар қажет болған жағдайда маневр жасау үшін компанияларды кеңістік қамтамасыз етеді.</w:t>
      </w:r>
    </w:p>
    <w:p w14:paraId="36CE9261" w14:textId="0868C372" w:rsidR="003E1342" w:rsidRDefault="003E1342" w:rsidP="003E1342">
      <w:pPr>
        <w:autoSpaceDE w:val="0"/>
        <w:autoSpaceDN w:val="0"/>
        <w:adjustRightInd w:val="0"/>
        <w:ind w:firstLine="709"/>
        <w:jc w:val="both"/>
        <w:rPr>
          <w:rFonts w:eastAsia="Times-Bold"/>
          <w:bCs/>
          <w:sz w:val="28"/>
          <w:szCs w:val="28"/>
        </w:rPr>
      </w:pPr>
      <w:r w:rsidRPr="003E1342">
        <w:rPr>
          <w:rFonts w:eastAsia="Times-Bold"/>
          <w:bCs/>
          <w:sz w:val="28"/>
          <w:szCs w:val="28"/>
        </w:rPr>
        <w:t>Бағалау және бухгалтерлік есеп стандарттарындағы айырмашылықтар мүлікті бағалау кезінде қолданылатын құнның ақшалай көрінісі тарихи факт емес, ал ИЫҰ-ның құн ұғымының таңдап алынған анықтамасына сәйкес нақты уақыт сәтінде пайдалылығын бағалау болып табылады. Бұл бағалау қандай да бір мәмілелерде тіркелген және бухгалтерлік есеп жүйесінде көрсетілген нақты бағалардан өзгеше болуы мүмкін.</w:t>
      </w:r>
      <w:bookmarkStart w:id="0" w:name="_GoBack"/>
      <w:bookmarkEnd w:id="0"/>
    </w:p>
    <w:sectPr w:rsidR="003E13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Bold">
    <w:altName w:val="Arial Unicode MS"/>
    <w:panose1 w:val="00000000000000000000"/>
    <w:charset w:val="80"/>
    <w:family w:val="roman"/>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A0C"/>
    <w:rsid w:val="003E1342"/>
    <w:rsid w:val="00A50ED9"/>
    <w:rsid w:val="00CE4A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8C0B4"/>
  <w15:chartTrackingRefBased/>
  <w15:docId w15:val="{9920ED1F-C21F-48C7-8EFB-15025E2B5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E134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2627</Words>
  <Characters>14974</Characters>
  <Application>Microsoft Office Word</Application>
  <DocSecurity>0</DocSecurity>
  <Lines>124</Lines>
  <Paragraphs>35</Paragraphs>
  <ScaleCrop>false</ScaleCrop>
  <Company/>
  <LinksUpToDate>false</LinksUpToDate>
  <CharactersWithSpaces>17566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2020-03-30T15:59:00Z</dcterms:created>
  <dcterms:modified xsi:type="dcterms:W3CDTF">2020-03-30T16:02:00Z</dcterms:modified>
</cp:coreProperties>
</file>