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14 тақырып. Амариллисгүлділер қатары</w:t>
      </w:r>
      <w:r>
        <w:rPr>
          <w:rFonts w:ascii="Times New Roman" w:hAnsi="Times New Roman" w:cs="Times New Roman"/>
          <w:sz w:val="28"/>
          <w:szCs w:val="28"/>
        </w:rPr>
        <w:t>. Жалпы сипаттамасы.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Жуалар, Агавалар, Амариллистер, Иксиолириондар. тұқымдастары.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Вегетатаивтік органдардың,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 ерекшеліктері.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Экологиясы.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Сүйсінгүлділер қатары. Сүйсіндер (Ятрышниктер немесе Орхидея-лар)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үқымдасы. Жалпы сипаттамасы. Морфологиялық және биологиялық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ерекшеліктері. Гүл құрылысының ерекшеліктері. Тозаң</w:t>
      </w:r>
      <w:proofErr w:type="gramStart"/>
      <w:r>
        <w:rPr>
          <w:rFonts w:ascii="Times New Roman" w:hAnsi="Times New Roman" w:cs="Times New Roman"/>
          <w:sz w:val="28"/>
          <w:szCs w:val="28"/>
        </w:rPr>
        <w:t>дану</w:t>
      </w:r>
      <w:proofErr w:type="gramEnd"/>
      <w:r>
        <w:rPr>
          <w:rFonts w:ascii="Times New Roman" w:hAnsi="Times New Roman" w:cs="Times New Roman"/>
          <w:sz w:val="28"/>
          <w:szCs w:val="28"/>
        </w:rPr>
        <w:t>ға бейімділігі.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Негізгі өкілдері. Табиғаттағы және шаруашылықтағы мәні.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Бромелиягүлділер қатары. Бромелиялар тұқымдасы. Жалпы сипатта-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масы. Экологиялык және морфологиялық ерекшеліктері. Таралуы. Негізгі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окілдері.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Елекшөпгүлділер қатары. Елеқшөптер (Ситниктер) тұқымдасы. Жаііпы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сипаттамасы. Экологиялық жене морфологиялық ерекшеліктері. Таралуы.</w:t>
      </w:r>
    </w:p>
    <w:p w:rsidR="00590903" w:rsidRDefault="00590903" w:rsidP="0059090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Негізгі өкілдері.</w:t>
      </w:r>
    </w:p>
    <w:sectPr w:rsidR="00590903" w:rsidSect="00AD36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590903"/>
    <w:rsid w:val="00590903"/>
    <w:rsid w:val="00AD3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9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1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2021-01-23T05:42:00Z</dcterms:created>
  <dcterms:modified xsi:type="dcterms:W3CDTF">2021-01-23T05:42:00Z</dcterms:modified>
</cp:coreProperties>
</file>