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4418" w:rsidRPr="006E7360" w:rsidRDefault="009F4418" w:rsidP="009F4418">
      <w:pPr>
        <w:pStyle w:val="6"/>
        <w:shd w:val="clear" w:color="auto" w:fill="F9F9F7"/>
        <w:spacing w:before="0" w:beforeAutospacing="0" w:after="0" w:afterAutospacing="0"/>
        <w:ind w:firstLine="709"/>
        <w:jc w:val="both"/>
        <w:rPr>
          <w:color w:val="000000"/>
          <w:sz w:val="28"/>
          <w:szCs w:val="28"/>
        </w:rPr>
      </w:pPr>
      <w:r w:rsidRPr="006E7360">
        <w:rPr>
          <w:color w:val="000000"/>
          <w:sz w:val="28"/>
          <w:szCs w:val="28"/>
        </w:rPr>
        <w:t>7. Показатели надежности</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Надежность изделия – это свойство выполнять заданные функции с заданными показателями качества в заданных режимах в течение заданного времени. Для систем автоматики, функционирующих без непосредственного участия человека длительное время, надежность работы особенно важна. Проявлением ненадежности является отказ – полное или частичное невыполнение заданных функций. Причинами отказов являются производственные дефекты, повреждения и сбои аппаратуры из-за внешних нештатных воздействий и неправильной эксплуатации, появление ситуаций, не предусмотренных при разработке аппаратуры и программного обеспечения.</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Надежность характеризуют случайной величиной – наработкой до отказа, то есть продолжительностью или объемом работы, которые измеряются в часах, циклах, километрах и т.д. У электронной аппаратуры наработка – это время безотказной работы, отсчитываемое от определенного момента, например, от начала эксплуатации. Полную характеристику наработки до отказа, как любой случайной величины, дает закон распределения. Распределение наработки до отказа неремонтируемых изделий описывают рядом характеристик, в частности, функцией надежности, плотностью распределения наработки до отказа, функцией ненадежности, вероятностью безотказной работы на определенном интервале времени, интенсивностью отказов. Все перечисленные характеристики однозначно связаны между собой и могут быть выражены одна через другую.</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Функция надежности (reliability function, survival function) </w:t>
      </w: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rPr>
        <w:t>) изделий данного типа – это доля изделий, сохранивших работоспособность в течение интервала времени </w:t>
      </w:r>
      <w:r w:rsidRPr="006E7360">
        <w:rPr>
          <w:i/>
          <w:iCs/>
          <w:color w:val="000000"/>
          <w:sz w:val="28"/>
          <w:szCs w:val="28"/>
        </w:rPr>
        <w:t>t</w:t>
      </w:r>
      <w:r w:rsidRPr="006E7360">
        <w:rPr>
          <w:color w:val="000000"/>
          <w:sz w:val="28"/>
          <w:szCs w:val="28"/>
        </w:rPr>
        <w:t>, или вероятность безотказной работы изделия в течение времени t от начала эксплуатации. Функция надежности монотонно убывающая, равная 1 при </w:t>
      </w:r>
      <w:r w:rsidRPr="006E7360">
        <w:rPr>
          <w:i/>
          <w:iCs/>
          <w:color w:val="000000"/>
          <w:sz w:val="28"/>
          <w:szCs w:val="28"/>
        </w:rPr>
        <w:t>t</w:t>
      </w:r>
      <w:r w:rsidRPr="006E7360">
        <w:rPr>
          <w:color w:val="000000"/>
          <w:sz w:val="28"/>
          <w:szCs w:val="28"/>
        </w:rPr>
        <w:t> = 0 (кривая 1 на рис.67).</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Плотность распределения наработки на отказ – это производная функции надежности по времени </w:t>
      </w:r>
      <w:r w:rsidRPr="006E7360">
        <w:rPr>
          <w:i/>
          <w:iCs/>
          <w:color w:val="000000"/>
          <w:sz w:val="28"/>
          <w:szCs w:val="28"/>
        </w:rPr>
        <w:t>f</w:t>
      </w:r>
      <w:r w:rsidRPr="006E7360">
        <w:rPr>
          <w:color w:val="000000"/>
          <w:sz w:val="28"/>
          <w:szCs w:val="28"/>
        </w:rPr>
        <w:t>(</w:t>
      </w:r>
      <w:r w:rsidRPr="006E7360">
        <w:rPr>
          <w:i/>
          <w:iCs/>
          <w:color w:val="000000"/>
          <w:sz w:val="28"/>
          <w:szCs w:val="28"/>
        </w:rPr>
        <w:t>t</w:t>
      </w:r>
      <w:r w:rsidRPr="006E7360">
        <w:rPr>
          <w:color w:val="000000"/>
          <w:sz w:val="28"/>
          <w:szCs w:val="28"/>
        </w:rPr>
        <w:t>) = – </w:t>
      </w:r>
      <w:r w:rsidRPr="006E7360">
        <w:rPr>
          <w:i/>
          <w:iCs/>
          <w:color w:val="000000"/>
          <w:sz w:val="28"/>
          <w:szCs w:val="28"/>
        </w:rPr>
        <w:t>dR</w:t>
      </w:r>
      <w:r w:rsidRPr="006E7360">
        <w:rPr>
          <w:color w:val="000000"/>
          <w:sz w:val="28"/>
          <w:szCs w:val="28"/>
        </w:rPr>
        <w:t>(</w:t>
      </w:r>
      <w:r w:rsidRPr="006E7360">
        <w:rPr>
          <w:i/>
          <w:iCs/>
          <w:color w:val="000000"/>
          <w:sz w:val="28"/>
          <w:szCs w:val="28"/>
        </w:rPr>
        <w:t>t</w:t>
      </w:r>
      <w:r w:rsidRPr="006E7360">
        <w:rPr>
          <w:color w:val="000000"/>
          <w:sz w:val="28"/>
          <w:szCs w:val="28"/>
        </w:rPr>
        <w:t>)/</w:t>
      </w:r>
      <w:r w:rsidRPr="006E7360">
        <w:rPr>
          <w:i/>
          <w:iCs/>
          <w:color w:val="000000"/>
          <w:sz w:val="28"/>
          <w:szCs w:val="28"/>
        </w:rPr>
        <w:t>dt</w:t>
      </w:r>
      <w:r w:rsidRPr="006E7360">
        <w:rPr>
          <w:color w:val="000000"/>
          <w:sz w:val="28"/>
          <w:szCs w:val="28"/>
        </w:rPr>
        <w:t> (кривая </w:t>
      </w:r>
      <w:r w:rsidRPr="006E7360">
        <w:rPr>
          <w:i/>
          <w:iCs/>
          <w:color w:val="000000"/>
          <w:sz w:val="28"/>
          <w:szCs w:val="28"/>
        </w:rPr>
        <w:t>2</w:t>
      </w:r>
      <w:r w:rsidRPr="006E7360">
        <w:rPr>
          <w:color w:val="000000"/>
          <w:sz w:val="28"/>
          <w:szCs w:val="28"/>
        </w:rPr>
        <w:t>на рис.67).</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Функция ненадежности </w:t>
      </w:r>
      <w:r w:rsidRPr="006E7360">
        <w:rPr>
          <w:i/>
          <w:iCs/>
          <w:color w:val="000000"/>
          <w:sz w:val="28"/>
          <w:szCs w:val="28"/>
        </w:rPr>
        <w:t>Q</w:t>
      </w:r>
      <w:r w:rsidRPr="006E7360">
        <w:rPr>
          <w:color w:val="000000"/>
          <w:sz w:val="28"/>
          <w:szCs w:val="28"/>
        </w:rPr>
        <w:t>(</w:t>
      </w:r>
      <w:r w:rsidRPr="006E7360">
        <w:rPr>
          <w:i/>
          <w:iCs/>
          <w:color w:val="000000"/>
          <w:sz w:val="28"/>
          <w:szCs w:val="28"/>
        </w:rPr>
        <w:t>t</w:t>
      </w:r>
      <w:r w:rsidRPr="006E7360">
        <w:rPr>
          <w:color w:val="000000"/>
          <w:sz w:val="28"/>
          <w:szCs w:val="28"/>
        </w:rPr>
        <w:t>) = 1 – </w:t>
      </w: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rPr>
        <w:t>).</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Вероятность безотказной работы определяется как условная вероятность </w:t>
      </w: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vertAlign w:val="subscript"/>
        </w:rPr>
        <w:t>1</w:t>
      </w:r>
      <w:r w:rsidRPr="006E7360">
        <w:rPr>
          <w:color w:val="000000"/>
          <w:sz w:val="28"/>
          <w:szCs w:val="28"/>
        </w:rPr>
        <w:t>, </w:t>
      </w:r>
      <w:r w:rsidRPr="006E7360">
        <w:rPr>
          <w:i/>
          <w:iCs/>
          <w:color w:val="000000"/>
          <w:sz w:val="28"/>
          <w:szCs w:val="28"/>
        </w:rPr>
        <w:t>t</w:t>
      </w:r>
      <w:r w:rsidRPr="006E7360">
        <w:rPr>
          <w:color w:val="000000"/>
          <w:sz w:val="28"/>
          <w:szCs w:val="28"/>
          <w:vertAlign w:val="subscript"/>
        </w:rPr>
        <w:t>2</w:t>
      </w:r>
      <w:r w:rsidRPr="006E7360">
        <w:rPr>
          <w:color w:val="000000"/>
          <w:sz w:val="28"/>
          <w:szCs w:val="28"/>
        </w:rPr>
        <w:t>) того, что изделие работает без отказов на интервале времени от </w:t>
      </w:r>
      <w:r w:rsidRPr="006E7360">
        <w:rPr>
          <w:i/>
          <w:iCs/>
          <w:color w:val="000000"/>
          <w:sz w:val="28"/>
          <w:szCs w:val="28"/>
        </w:rPr>
        <w:t>t</w:t>
      </w:r>
      <w:r w:rsidRPr="006E7360">
        <w:rPr>
          <w:color w:val="000000"/>
          <w:sz w:val="28"/>
          <w:szCs w:val="28"/>
          <w:vertAlign w:val="subscript"/>
        </w:rPr>
        <w:t>1</w:t>
      </w:r>
      <w:r w:rsidRPr="006E7360">
        <w:rPr>
          <w:color w:val="000000"/>
          <w:sz w:val="28"/>
          <w:szCs w:val="28"/>
        </w:rPr>
        <w:t> до </w:t>
      </w:r>
      <w:r w:rsidRPr="006E7360">
        <w:rPr>
          <w:i/>
          <w:iCs/>
          <w:color w:val="000000"/>
          <w:sz w:val="28"/>
          <w:szCs w:val="28"/>
        </w:rPr>
        <w:t>t</w:t>
      </w:r>
      <w:r w:rsidRPr="006E7360">
        <w:rPr>
          <w:color w:val="000000"/>
          <w:sz w:val="28"/>
          <w:szCs w:val="28"/>
          <w:vertAlign w:val="subscript"/>
        </w:rPr>
        <w:t>2</w:t>
      </w:r>
      <w:r w:rsidRPr="006E7360">
        <w:rPr>
          <w:color w:val="000000"/>
          <w:sz w:val="28"/>
          <w:szCs w:val="28"/>
        </w:rPr>
        <w:t> при условии, что оно работоспособно в начале этого интервала. Событие «изделие исправно в момент </w:t>
      </w:r>
      <w:r w:rsidRPr="006E7360">
        <w:rPr>
          <w:i/>
          <w:iCs/>
          <w:color w:val="000000"/>
          <w:sz w:val="28"/>
          <w:szCs w:val="28"/>
        </w:rPr>
        <w:t>t</w:t>
      </w:r>
      <w:r w:rsidRPr="006E7360">
        <w:rPr>
          <w:color w:val="000000"/>
          <w:sz w:val="28"/>
          <w:szCs w:val="28"/>
          <w:vertAlign w:val="subscript"/>
        </w:rPr>
        <w:t>2</w:t>
      </w:r>
      <w:r w:rsidRPr="006E7360">
        <w:rPr>
          <w:color w:val="000000"/>
          <w:sz w:val="28"/>
          <w:szCs w:val="28"/>
        </w:rPr>
        <w:t> » является произведением независимых событий «изделие исправно в момент t</w:t>
      </w:r>
      <w:r w:rsidRPr="006E7360">
        <w:rPr>
          <w:color w:val="000000"/>
          <w:sz w:val="28"/>
          <w:szCs w:val="28"/>
          <w:vertAlign w:val="subscript"/>
        </w:rPr>
        <w:t>1 </w:t>
      </w:r>
      <w:r w:rsidRPr="006E7360">
        <w:rPr>
          <w:color w:val="000000"/>
          <w:sz w:val="28"/>
          <w:szCs w:val="28"/>
        </w:rPr>
        <w:t>» и «нет отказов в интервале времени от </w:t>
      </w:r>
      <w:r w:rsidRPr="006E7360">
        <w:rPr>
          <w:i/>
          <w:iCs/>
          <w:color w:val="000000"/>
          <w:sz w:val="28"/>
          <w:szCs w:val="28"/>
        </w:rPr>
        <w:t>t</w:t>
      </w:r>
      <w:r w:rsidRPr="006E7360">
        <w:rPr>
          <w:color w:val="000000"/>
          <w:sz w:val="28"/>
          <w:szCs w:val="28"/>
          <w:vertAlign w:val="subscript"/>
        </w:rPr>
        <w:t>1</w:t>
      </w:r>
      <w:r w:rsidRPr="006E7360">
        <w:rPr>
          <w:color w:val="000000"/>
          <w:sz w:val="28"/>
          <w:szCs w:val="28"/>
        </w:rPr>
        <w:t> до </w:t>
      </w:r>
      <w:r w:rsidRPr="006E7360">
        <w:rPr>
          <w:i/>
          <w:iCs/>
          <w:color w:val="000000"/>
          <w:sz w:val="28"/>
          <w:szCs w:val="28"/>
        </w:rPr>
        <w:t>t</w:t>
      </w:r>
      <w:r w:rsidRPr="006E7360">
        <w:rPr>
          <w:color w:val="000000"/>
          <w:sz w:val="28"/>
          <w:szCs w:val="28"/>
          <w:vertAlign w:val="subscript"/>
        </w:rPr>
        <w:t>2</w:t>
      </w:r>
      <w:r w:rsidRPr="006E7360">
        <w:rPr>
          <w:color w:val="000000"/>
          <w:sz w:val="28"/>
          <w:szCs w:val="28"/>
        </w:rPr>
        <w:t> ». Следовательно, </w:t>
      </w: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vertAlign w:val="subscript"/>
        </w:rPr>
        <w:t>2</w:t>
      </w:r>
      <w:r w:rsidRPr="006E7360">
        <w:rPr>
          <w:color w:val="000000"/>
          <w:sz w:val="28"/>
          <w:szCs w:val="28"/>
        </w:rPr>
        <w:t>) = </w:t>
      </w: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vertAlign w:val="subscript"/>
        </w:rPr>
        <w:t>1</w:t>
      </w:r>
      <w:r w:rsidRPr="006E7360">
        <w:rPr>
          <w:color w:val="000000"/>
          <w:sz w:val="28"/>
          <w:szCs w:val="28"/>
        </w:rPr>
        <w:t>) </w:t>
      </w: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vertAlign w:val="subscript"/>
        </w:rPr>
        <w:t>1</w:t>
      </w:r>
      <w:r w:rsidRPr="006E7360">
        <w:rPr>
          <w:color w:val="000000"/>
          <w:sz w:val="28"/>
          <w:szCs w:val="28"/>
        </w:rPr>
        <w:t>, </w:t>
      </w:r>
      <w:r w:rsidRPr="006E7360">
        <w:rPr>
          <w:i/>
          <w:iCs/>
          <w:color w:val="000000"/>
          <w:sz w:val="28"/>
          <w:szCs w:val="28"/>
        </w:rPr>
        <w:t>t</w:t>
      </w:r>
      <w:r w:rsidRPr="006E7360">
        <w:rPr>
          <w:color w:val="000000"/>
          <w:sz w:val="28"/>
          <w:szCs w:val="28"/>
          <w:vertAlign w:val="subscript"/>
        </w:rPr>
        <w:t>2</w:t>
      </w:r>
      <w:r w:rsidRPr="006E7360">
        <w:rPr>
          <w:color w:val="000000"/>
          <w:sz w:val="28"/>
          <w:szCs w:val="28"/>
        </w:rPr>
        <w:t>), то есть</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120"/>
        <w:gridCol w:w="1111"/>
      </w:tblGrid>
      <w:tr w:rsidR="009F4418" w:rsidRPr="006E7360" w:rsidTr="0038423B">
        <w:trPr>
          <w:trHeight w:val="45"/>
          <w:tblCellSpacing w:w="15" w:type="dxa"/>
        </w:trPr>
        <w:tc>
          <w:tcPr>
            <w:tcW w:w="6075" w:type="dxa"/>
            <w:tcBorders>
              <w:top w:val="nil"/>
              <w:left w:val="nil"/>
              <w:bottom w:val="nil"/>
              <w:right w:val="nil"/>
            </w:tcBorders>
            <w:shd w:val="clear" w:color="auto" w:fill="F9F9F7"/>
          </w:tcPr>
          <w:p w:rsidR="009F4418" w:rsidRPr="006E7360" w:rsidRDefault="009F4418" w:rsidP="0038423B">
            <w:pPr>
              <w:pStyle w:val="a3"/>
              <w:spacing w:before="0" w:beforeAutospacing="0" w:after="0" w:afterAutospacing="0"/>
              <w:ind w:firstLine="709"/>
              <w:jc w:val="both"/>
              <w:rPr>
                <w:color w:val="000000"/>
                <w:sz w:val="28"/>
                <w:szCs w:val="28"/>
              </w:rPr>
            </w:pP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vertAlign w:val="subscript"/>
              </w:rPr>
              <w:t>1</w:t>
            </w:r>
            <w:r w:rsidRPr="006E7360">
              <w:rPr>
                <w:color w:val="000000"/>
                <w:sz w:val="28"/>
                <w:szCs w:val="28"/>
              </w:rPr>
              <w:t>, </w:t>
            </w:r>
            <w:r w:rsidRPr="006E7360">
              <w:rPr>
                <w:i/>
                <w:iCs/>
                <w:color w:val="000000"/>
                <w:sz w:val="28"/>
                <w:szCs w:val="28"/>
              </w:rPr>
              <w:t>t</w:t>
            </w:r>
            <w:r w:rsidRPr="006E7360">
              <w:rPr>
                <w:color w:val="000000"/>
                <w:sz w:val="28"/>
                <w:szCs w:val="28"/>
                <w:vertAlign w:val="subscript"/>
              </w:rPr>
              <w:t>2</w:t>
            </w:r>
            <w:r w:rsidRPr="006E7360">
              <w:rPr>
                <w:color w:val="000000"/>
                <w:sz w:val="28"/>
                <w:szCs w:val="28"/>
              </w:rPr>
              <w:t>) = </w:t>
            </w: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vertAlign w:val="subscript"/>
              </w:rPr>
              <w:t>2</w:t>
            </w:r>
            <w:r w:rsidRPr="006E7360">
              <w:rPr>
                <w:color w:val="000000"/>
                <w:sz w:val="28"/>
                <w:szCs w:val="28"/>
              </w:rPr>
              <w:t>) / </w:t>
            </w: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vertAlign w:val="subscript"/>
              </w:rPr>
              <w:t>1</w:t>
            </w:r>
            <w:r w:rsidRPr="006E7360">
              <w:rPr>
                <w:color w:val="000000"/>
                <w:sz w:val="28"/>
                <w:szCs w:val="28"/>
              </w:rPr>
              <w:t>), </w:t>
            </w:r>
            <w:r w:rsidRPr="006E7360">
              <w:rPr>
                <w:i/>
                <w:iCs/>
                <w:color w:val="000000"/>
                <w:sz w:val="28"/>
                <w:szCs w:val="28"/>
              </w:rPr>
              <w:t>Q</w:t>
            </w:r>
            <w:r w:rsidRPr="006E7360">
              <w:rPr>
                <w:color w:val="000000"/>
                <w:sz w:val="28"/>
                <w:szCs w:val="28"/>
              </w:rPr>
              <w:t>(</w:t>
            </w:r>
            <w:r w:rsidRPr="006E7360">
              <w:rPr>
                <w:i/>
                <w:iCs/>
                <w:color w:val="000000"/>
                <w:sz w:val="28"/>
                <w:szCs w:val="28"/>
              </w:rPr>
              <w:t>t</w:t>
            </w:r>
            <w:r w:rsidRPr="006E7360">
              <w:rPr>
                <w:color w:val="000000"/>
                <w:sz w:val="28"/>
                <w:szCs w:val="28"/>
                <w:vertAlign w:val="subscript"/>
              </w:rPr>
              <w:t>1</w:t>
            </w:r>
            <w:r w:rsidRPr="006E7360">
              <w:rPr>
                <w:color w:val="000000"/>
                <w:sz w:val="28"/>
                <w:szCs w:val="28"/>
              </w:rPr>
              <w:t>, </w:t>
            </w:r>
            <w:r w:rsidRPr="006E7360">
              <w:rPr>
                <w:i/>
                <w:iCs/>
                <w:color w:val="000000"/>
                <w:sz w:val="28"/>
                <w:szCs w:val="28"/>
              </w:rPr>
              <w:t>t</w:t>
            </w:r>
            <w:r w:rsidRPr="006E7360">
              <w:rPr>
                <w:color w:val="000000"/>
                <w:sz w:val="28"/>
                <w:szCs w:val="28"/>
                <w:vertAlign w:val="subscript"/>
              </w:rPr>
              <w:t>2</w:t>
            </w:r>
            <w:r w:rsidRPr="006E7360">
              <w:rPr>
                <w:color w:val="000000"/>
                <w:sz w:val="28"/>
                <w:szCs w:val="28"/>
              </w:rPr>
              <w:t>) = 1– </w:t>
            </w: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vertAlign w:val="subscript"/>
              </w:rPr>
              <w:t>2</w:t>
            </w:r>
            <w:r w:rsidRPr="006E7360">
              <w:rPr>
                <w:color w:val="000000"/>
                <w:sz w:val="28"/>
                <w:szCs w:val="28"/>
              </w:rPr>
              <w:t>) / </w:t>
            </w:r>
            <w:r w:rsidRPr="006E7360">
              <w:rPr>
                <w:i/>
                <w:iCs/>
                <w:color w:val="000000"/>
                <w:sz w:val="28"/>
                <w:szCs w:val="28"/>
              </w:rPr>
              <w:t>R</w:t>
            </w:r>
            <w:r w:rsidRPr="006E7360">
              <w:rPr>
                <w:color w:val="000000"/>
                <w:sz w:val="28"/>
                <w:szCs w:val="28"/>
              </w:rPr>
              <w:t>(</w:t>
            </w:r>
            <w:r w:rsidRPr="006E7360">
              <w:rPr>
                <w:i/>
                <w:iCs/>
                <w:color w:val="000000"/>
                <w:sz w:val="28"/>
                <w:szCs w:val="28"/>
              </w:rPr>
              <w:t>t</w:t>
            </w:r>
            <w:r w:rsidRPr="006E7360">
              <w:rPr>
                <w:color w:val="000000"/>
                <w:sz w:val="28"/>
                <w:szCs w:val="28"/>
                <w:vertAlign w:val="subscript"/>
              </w:rPr>
              <w:t>1</w:t>
            </w:r>
            <w:r w:rsidRPr="006E7360">
              <w:rPr>
                <w:color w:val="000000"/>
                <w:sz w:val="28"/>
                <w:szCs w:val="28"/>
              </w:rPr>
              <w:t>),</w:t>
            </w:r>
          </w:p>
        </w:tc>
        <w:tc>
          <w:tcPr>
            <w:tcW w:w="375" w:type="dxa"/>
            <w:tcBorders>
              <w:top w:val="nil"/>
              <w:left w:val="nil"/>
              <w:bottom w:val="nil"/>
              <w:right w:val="nil"/>
            </w:tcBorders>
            <w:shd w:val="clear" w:color="auto" w:fill="F9F9F7"/>
            <w:vAlign w:val="center"/>
          </w:tcPr>
          <w:p w:rsidR="009F4418" w:rsidRPr="006E7360" w:rsidRDefault="009F4418" w:rsidP="0038423B">
            <w:pPr>
              <w:pStyle w:val="a3"/>
              <w:spacing w:before="0" w:beforeAutospacing="0" w:after="0" w:afterAutospacing="0"/>
              <w:ind w:firstLine="709"/>
              <w:jc w:val="both"/>
              <w:rPr>
                <w:color w:val="000000"/>
                <w:sz w:val="28"/>
                <w:szCs w:val="28"/>
              </w:rPr>
            </w:pPr>
            <w:r w:rsidRPr="006E7360">
              <w:rPr>
                <w:color w:val="000000"/>
                <w:sz w:val="28"/>
                <w:szCs w:val="28"/>
              </w:rPr>
              <w:t>(8)</w:t>
            </w:r>
          </w:p>
        </w:tc>
      </w:tr>
    </w:tbl>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где </w:t>
      </w:r>
      <w:r w:rsidRPr="006E7360">
        <w:rPr>
          <w:i/>
          <w:iCs/>
          <w:color w:val="000000"/>
          <w:sz w:val="28"/>
          <w:szCs w:val="28"/>
        </w:rPr>
        <w:t>Q</w:t>
      </w:r>
      <w:r w:rsidRPr="006E7360">
        <w:rPr>
          <w:color w:val="000000"/>
          <w:sz w:val="28"/>
          <w:szCs w:val="28"/>
        </w:rPr>
        <w:t>(</w:t>
      </w:r>
      <w:r w:rsidRPr="006E7360">
        <w:rPr>
          <w:i/>
          <w:iCs/>
          <w:color w:val="000000"/>
          <w:sz w:val="28"/>
          <w:szCs w:val="28"/>
        </w:rPr>
        <w:t>t</w:t>
      </w:r>
      <w:r w:rsidRPr="006E7360">
        <w:rPr>
          <w:color w:val="000000"/>
          <w:sz w:val="28"/>
          <w:szCs w:val="28"/>
          <w:vertAlign w:val="subscript"/>
        </w:rPr>
        <w:t>1</w:t>
      </w:r>
      <w:r w:rsidRPr="006E7360">
        <w:rPr>
          <w:color w:val="000000"/>
          <w:sz w:val="28"/>
          <w:szCs w:val="28"/>
        </w:rPr>
        <w:t>, </w:t>
      </w:r>
      <w:r w:rsidRPr="006E7360">
        <w:rPr>
          <w:i/>
          <w:iCs/>
          <w:color w:val="000000"/>
          <w:sz w:val="28"/>
          <w:szCs w:val="28"/>
        </w:rPr>
        <w:t>t</w:t>
      </w:r>
      <w:r w:rsidRPr="006E7360">
        <w:rPr>
          <w:color w:val="000000"/>
          <w:sz w:val="28"/>
          <w:szCs w:val="28"/>
          <w:vertAlign w:val="subscript"/>
        </w:rPr>
        <w:t>2</w:t>
      </w:r>
      <w:r w:rsidRPr="006E7360">
        <w:rPr>
          <w:color w:val="000000"/>
          <w:sz w:val="28"/>
          <w:szCs w:val="28"/>
        </w:rPr>
        <w:t>) – вероятность отказа на интервале времени от </w:t>
      </w:r>
      <w:r w:rsidRPr="006E7360">
        <w:rPr>
          <w:i/>
          <w:iCs/>
          <w:color w:val="000000"/>
          <w:sz w:val="28"/>
          <w:szCs w:val="28"/>
        </w:rPr>
        <w:t>t</w:t>
      </w:r>
      <w:r w:rsidRPr="006E7360">
        <w:rPr>
          <w:color w:val="000000"/>
          <w:sz w:val="28"/>
          <w:szCs w:val="28"/>
          <w:vertAlign w:val="subscript"/>
        </w:rPr>
        <w:t>1</w:t>
      </w:r>
      <w:r w:rsidRPr="006E7360">
        <w:rPr>
          <w:color w:val="000000"/>
          <w:sz w:val="28"/>
          <w:szCs w:val="28"/>
        </w:rPr>
        <w:t> до </w:t>
      </w:r>
      <w:r w:rsidRPr="006E7360">
        <w:rPr>
          <w:i/>
          <w:iCs/>
          <w:color w:val="000000"/>
          <w:sz w:val="28"/>
          <w:szCs w:val="28"/>
        </w:rPr>
        <w:t>t</w:t>
      </w:r>
      <w:r w:rsidRPr="006E7360">
        <w:rPr>
          <w:color w:val="000000"/>
          <w:sz w:val="28"/>
          <w:szCs w:val="28"/>
          <w:vertAlign w:val="subscript"/>
        </w:rPr>
        <w:t>2</w:t>
      </w:r>
      <w:r w:rsidRPr="006E7360">
        <w:rPr>
          <w:color w:val="000000"/>
          <w:sz w:val="28"/>
          <w:szCs w:val="28"/>
        </w:rPr>
        <w:t> (при условии, что в момент </w:t>
      </w:r>
      <w:r w:rsidRPr="006E7360">
        <w:rPr>
          <w:i/>
          <w:iCs/>
          <w:color w:val="000000"/>
          <w:sz w:val="28"/>
          <w:szCs w:val="28"/>
        </w:rPr>
        <w:t>t</w:t>
      </w:r>
      <w:r w:rsidRPr="006E7360">
        <w:rPr>
          <w:color w:val="000000"/>
          <w:sz w:val="28"/>
          <w:szCs w:val="28"/>
          <w:vertAlign w:val="subscript"/>
        </w:rPr>
        <w:t>1</w:t>
      </w:r>
      <w:r w:rsidRPr="006E7360">
        <w:rPr>
          <w:color w:val="000000"/>
          <w:sz w:val="28"/>
          <w:szCs w:val="28"/>
        </w:rPr>
        <w:t> изделие исправно).</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w:t>
      </w:r>
      <w:r w:rsidRPr="006E7360">
        <w:rPr>
          <w:color w:val="000000"/>
          <w:sz w:val="28"/>
          <w:szCs w:val="28"/>
        </w:rPr>
        <w:sym w:font="Symbol" w:char="F06C"/>
      </w:r>
      <w:r w:rsidRPr="006E7360">
        <w:rPr>
          <w:color w:val="000000"/>
          <w:sz w:val="28"/>
          <w:szCs w:val="28"/>
        </w:rPr>
        <w:t xml:space="preserve">Интенсивность отказов </w:t>
      </w:r>
      <w:r w:rsidRPr="006E7360">
        <w:rPr>
          <w:i/>
          <w:iCs/>
          <w:color w:val="000000"/>
          <w:sz w:val="28"/>
          <w:szCs w:val="28"/>
        </w:rPr>
        <w:t>t</w:t>
      </w:r>
      <w:r w:rsidRPr="006E7360">
        <w:rPr>
          <w:color w:val="000000"/>
          <w:sz w:val="28"/>
          <w:szCs w:val="28"/>
        </w:rPr>
        <w:t>) определяется как скорость уменьшения относительного количества исправных изделий </w:t>
      </w:r>
      <w:r w:rsidRPr="006E7360">
        <w:rPr>
          <w:i/>
          <w:iCs/>
          <w:color w:val="000000"/>
          <w:sz w:val="28"/>
          <w:szCs w:val="28"/>
        </w:rPr>
        <w:t>N</w:t>
      </w:r>
      <w:r w:rsidRPr="006E7360">
        <w:rPr>
          <w:color w:val="000000"/>
          <w:sz w:val="28"/>
          <w:szCs w:val="28"/>
        </w:rPr>
        <w:t>:</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120"/>
        <w:gridCol w:w="1111"/>
      </w:tblGrid>
      <w:tr w:rsidR="009F4418" w:rsidRPr="006E7360" w:rsidTr="0038423B">
        <w:trPr>
          <w:tblCellSpacing w:w="15" w:type="dxa"/>
        </w:trPr>
        <w:tc>
          <w:tcPr>
            <w:tcW w:w="6075" w:type="dxa"/>
            <w:tcBorders>
              <w:top w:val="nil"/>
              <w:left w:val="nil"/>
              <w:bottom w:val="nil"/>
              <w:right w:val="nil"/>
            </w:tcBorders>
            <w:shd w:val="clear" w:color="auto" w:fill="F9F9F7"/>
          </w:tcPr>
          <w:p w:rsidR="009F4418" w:rsidRPr="006E7360" w:rsidRDefault="009F4418" w:rsidP="0038423B">
            <w:pPr>
              <w:pStyle w:val="a3"/>
              <w:spacing w:before="0" w:beforeAutospacing="0" w:after="0" w:afterAutospacing="0"/>
              <w:ind w:firstLine="709"/>
              <w:jc w:val="both"/>
              <w:rPr>
                <w:color w:val="000000"/>
                <w:sz w:val="28"/>
                <w:szCs w:val="28"/>
              </w:rPr>
            </w:pPr>
            <w:r w:rsidRPr="006E7360">
              <w:rPr>
                <w:color w:val="000000"/>
                <w:sz w:val="28"/>
                <w:szCs w:val="28"/>
              </w:rPr>
              <w:t>(</w:t>
            </w:r>
            <w:r w:rsidRPr="006E7360">
              <w:rPr>
                <w:color w:val="000000"/>
                <w:sz w:val="28"/>
                <w:szCs w:val="28"/>
              </w:rPr>
              <w:sym w:font="Symbol" w:char="F06C"/>
            </w:r>
            <w:r w:rsidRPr="006E7360">
              <w:rPr>
                <w:i/>
                <w:iCs/>
                <w:color w:val="000000"/>
                <w:sz w:val="28"/>
                <w:szCs w:val="28"/>
              </w:rPr>
              <w:t>t</w:t>
            </w:r>
            <w:r w:rsidRPr="006E7360">
              <w:rPr>
                <w:color w:val="000000"/>
                <w:sz w:val="28"/>
                <w:szCs w:val="28"/>
              </w:rPr>
              <w:sym w:font="Symbol" w:char="F044"/>
            </w:r>
            <w:r w:rsidRPr="006E7360">
              <w:rPr>
                <w:color w:val="000000"/>
                <w:sz w:val="28"/>
                <w:szCs w:val="28"/>
              </w:rPr>
              <w:t xml:space="preserve">) = – </w:t>
            </w:r>
            <w:r w:rsidRPr="006E7360">
              <w:rPr>
                <w:i/>
                <w:iCs/>
                <w:color w:val="000000"/>
                <w:sz w:val="28"/>
                <w:szCs w:val="28"/>
              </w:rPr>
              <w:t>N</w:t>
            </w:r>
            <w:r w:rsidRPr="006E7360">
              <w:rPr>
                <w:color w:val="000000"/>
                <w:sz w:val="28"/>
                <w:szCs w:val="28"/>
              </w:rPr>
              <w:t> </w:t>
            </w:r>
            <w:r w:rsidRPr="006E7360">
              <w:rPr>
                <w:color w:val="000000"/>
                <w:sz w:val="28"/>
                <w:szCs w:val="28"/>
              </w:rPr>
              <w:sym w:font="Symbol" w:char="F044"/>
            </w:r>
            <w:r w:rsidRPr="006E7360">
              <w:rPr>
                <w:color w:val="000000"/>
                <w:sz w:val="28"/>
                <w:szCs w:val="28"/>
              </w:rPr>
              <w:t>/(</w:t>
            </w:r>
            <w:r w:rsidRPr="006E7360">
              <w:rPr>
                <w:i/>
                <w:iCs/>
                <w:color w:val="000000"/>
                <w:sz w:val="28"/>
                <w:szCs w:val="28"/>
              </w:rPr>
              <w:t>t N</w:t>
            </w:r>
            <w:r w:rsidRPr="006E7360">
              <w:rPr>
                <w:color w:val="000000"/>
                <w:sz w:val="28"/>
                <w:szCs w:val="28"/>
              </w:rPr>
              <w:t>).</w:t>
            </w:r>
          </w:p>
        </w:tc>
        <w:tc>
          <w:tcPr>
            <w:tcW w:w="375" w:type="dxa"/>
            <w:tcBorders>
              <w:top w:val="nil"/>
              <w:left w:val="nil"/>
              <w:bottom w:val="nil"/>
              <w:right w:val="nil"/>
            </w:tcBorders>
            <w:shd w:val="clear" w:color="auto" w:fill="F9F9F7"/>
            <w:vAlign w:val="center"/>
          </w:tcPr>
          <w:p w:rsidR="009F4418" w:rsidRPr="006E7360" w:rsidRDefault="009F4418" w:rsidP="0038423B">
            <w:pPr>
              <w:pStyle w:val="a3"/>
              <w:spacing w:before="0" w:beforeAutospacing="0" w:after="0" w:afterAutospacing="0"/>
              <w:ind w:firstLine="709"/>
              <w:jc w:val="both"/>
              <w:rPr>
                <w:color w:val="000000"/>
                <w:sz w:val="28"/>
                <w:szCs w:val="28"/>
              </w:rPr>
            </w:pPr>
            <w:r w:rsidRPr="006E7360">
              <w:rPr>
                <w:color w:val="000000"/>
                <w:sz w:val="28"/>
                <w:szCs w:val="28"/>
              </w:rPr>
              <w:t>(9)</w:t>
            </w:r>
          </w:p>
        </w:tc>
      </w:tr>
    </w:tbl>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lastRenderedPageBreak/>
        <w:sym w:font="Symbol" w:char="F044"/>
      </w:r>
      <w:r w:rsidRPr="006E7360">
        <w:rPr>
          <w:color w:val="000000"/>
          <w:sz w:val="28"/>
          <w:szCs w:val="28"/>
        </w:rPr>
        <w:t xml:space="preserve">Относительное число отказов </w:t>
      </w:r>
      <w:r w:rsidRPr="006E7360">
        <w:rPr>
          <w:i/>
          <w:iCs/>
          <w:color w:val="000000"/>
          <w:sz w:val="28"/>
          <w:szCs w:val="28"/>
        </w:rPr>
        <w:t>N</w:t>
      </w:r>
      <w:r w:rsidRPr="006E7360">
        <w:rPr>
          <w:color w:val="000000"/>
          <w:sz w:val="28"/>
          <w:szCs w:val="28"/>
        </w:rPr>
        <w:t> / </w:t>
      </w:r>
      <w:r w:rsidRPr="006E7360">
        <w:rPr>
          <w:i/>
          <w:iCs/>
          <w:color w:val="000000"/>
          <w:sz w:val="28"/>
          <w:szCs w:val="28"/>
        </w:rPr>
        <w:t>N</w:t>
      </w:r>
      <w:r w:rsidRPr="006E7360">
        <w:rPr>
          <w:color w:val="000000"/>
          <w:sz w:val="28"/>
          <w:szCs w:val="28"/>
        </w:rPr>
        <w:t> </w:t>
      </w:r>
      <w:r w:rsidRPr="006E7360">
        <w:rPr>
          <w:color w:val="000000"/>
          <w:sz w:val="28"/>
          <w:szCs w:val="28"/>
        </w:rPr>
        <w:sym w:font="Symbol" w:char="F044"/>
      </w:r>
      <w:r w:rsidRPr="006E7360">
        <w:rPr>
          <w:color w:val="000000"/>
          <w:sz w:val="28"/>
          <w:szCs w:val="28"/>
        </w:rPr>
        <w:t xml:space="preserve">за время </w:t>
      </w:r>
      <w:r w:rsidRPr="006E7360">
        <w:rPr>
          <w:i/>
          <w:iCs/>
          <w:color w:val="000000"/>
          <w:sz w:val="28"/>
          <w:szCs w:val="28"/>
        </w:rPr>
        <w:t>t</w:t>
      </w:r>
      <w:r w:rsidRPr="006E7360">
        <w:rPr>
          <w:color w:val="000000"/>
          <w:sz w:val="28"/>
          <w:szCs w:val="28"/>
        </w:rPr>
        <w:t>равно вероятности отказа за это время </w:t>
      </w:r>
      <w:r w:rsidRPr="006E7360">
        <w:rPr>
          <w:i/>
          <w:iCs/>
          <w:color w:val="000000"/>
          <w:sz w:val="28"/>
          <w:szCs w:val="28"/>
        </w:rPr>
        <w:t>Q</w:t>
      </w:r>
      <w:r w:rsidRPr="006E7360">
        <w:rPr>
          <w:color w:val="000000"/>
          <w:sz w:val="28"/>
          <w:szCs w:val="28"/>
        </w:rPr>
        <w:t>(</w:t>
      </w:r>
      <w:r w:rsidRPr="006E7360">
        <w:rPr>
          <w:i/>
          <w:iCs/>
          <w:color w:val="000000"/>
          <w:sz w:val="28"/>
          <w:szCs w:val="28"/>
        </w:rPr>
        <w:t>t</w:t>
      </w:r>
      <w:r w:rsidRPr="006E7360">
        <w:rPr>
          <w:color w:val="000000"/>
          <w:sz w:val="28"/>
          <w:szCs w:val="28"/>
        </w:rPr>
        <w:sym w:font="Symbol" w:char="F044"/>
      </w:r>
      <w:r w:rsidRPr="006E7360">
        <w:rPr>
          <w:color w:val="000000"/>
          <w:sz w:val="28"/>
          <w:szCs w:val="28"/>
        </w:rPr>
        <w:t>+</w:t>
      </w:r>
      <w:r w:rsidRPr="006E7360">
        <w:rPr>
          <w:i/>
          <w:iCs/>
          <w:color w:val="000000"/>
          <w:sz w:val="28"/>
          <w:szCs w:val="28"/>
        </w:rPr>
        <w:t>t</w:t>
      </w:r>
      <w:r w:rsidRPr="006E7360">
        <w:rPr>
          <w:color w:val="000000"/>
          <w:sz w:val="28"/>
          <w:szCs w:val="28"/>
        </w:rPr>
        <w:t>, </w:t>
      </w:r>
      <w:r w:rsidRPr="006E7360">
        <w:rPr>
          <w:i/>
          <w:iCs/>
          <w:color w:val="000000"/>
          <w:sz w:val="28"/>
          <w:szCs w:val="28"/>
        </w:rPr>
        <w:t>t</w:t>
      </w:r>
      <w:r w:rsidRPr="006E7360">
        <w:rPr>
          <w:color w:val="000000"/>
          <w:sz w:val="28"/>
          <w:szCs w:val="28"/>
        </w:rPr>
        <w:t>). Следовательно, с учетом (8), (9)</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367"/>
        <w:gridCol w:w="1251"/>
      </w:tblGrid>
      <w:tr w:rsidR="009F4418" w:rsidRPr="006E7360" w:rsidTr="0038423B">
        <w:trPr>
          <w:tblCellSpacing w:w="15" w:type="dxa"/>
        </w:trPr>
        <w:tc>
          <w:tcPr>
            <w:tcW w:w="6075" w:type="dxa"/>
            <w:tcBorders>
              <w:top w:val="nil"/>
              <w:left w:val="nil"/>
              <w:bottom w:val="nil"/>
              <w:right w:val="nil"/>
            </w:tcBorders>
            <w:shd w:val="clear" w:color="auto" w:fill="F9F9F7"/>
          </w:tcPr>
          <w:p w:rsidR="009F4418" w:rsidRPr="006E7360" w:rsidRDefault="009F4418"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"http://textarchive.ru/images/1478/2955571/378ef3f6.gif" \* MERGEFORMATINET </w:instrText>
            </w:r>
            <w:r w:rsidRPr="006E7360">
              <w:rPr>
                <w:color w:val="000000"/>
                <w:sz w:val="28"/>
                <w:szCs w:val="28"/>
              </w:rPr>
              <w:fldChar w:fldCharType="separate"/>
            </w:r>
            <w:r w:rsidRPr="006E7360">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5.5pt;height:31.5pt">
                  <v:imagedata r:id="rId4" r:href="rId5"/>
                </v:shape>
              </w:pict>
            </w:r>
            <w:r w:rsidRPr="006E7360">
              <w:rPr>
                <w:color w:val="000000"/>
                <w:sz w:val="28"/>
                <w:szCs w:val="28"/>
              </w:rPr>
              <w:fldChar w:fldCharType="end"/>
            </w:r>
            <w:r w:rsidRPr="006E7360">
              <w:rPr>
                <w:color w:val="000000"/>
                <w:sz w:val="28"/>
                <w:szCs w:val="28"/>
              </w:rPr>
              <w:t>.</w:t>
            </w:r>
          </w:p>
        </w:tc>
        <w:tc>
          <w:tcPr>
            <w:tcW w:w="375" w:type="dxa"/>
            <w:tcBorders>
              <w:top w:val="nil"/>
              <w:left w:val="nil"/>
              <w:bottom w:val="nil"/>
              <w:right w:val="nil"/>
            </w:tcBorders>
            <w:shd w:val="clear" w:color="auto" w:fill="F9F9F7"/>
            <w:vAlign w:val="center"/>
          </w:tcPr>
          <w:p w:rsidR="009F4418" w:rsidRPr="006E7360" w:rsidRDefault="009F4418" w:rsidP="0038423B">
            <w:pPr>
              <w:pStyle w:val="a3"/>
              <w:spacing w:before="0" w:beforeAutospacing="0" w:after="0" w:afterAutospacing="0"/>
              <w:ind w:firstLine="709"/>
              <w:jc w:val="both"/>
              <w:rPr>
                <w:color w:val="000000"/>
                <w:sz w:val="28"/>
                <w:szCs w:val="28"/>
              </w:rPr>
            </w:pPr>
            <w:r w:rsidRPr="006E7360">
              <w:rPr>
                <w:color w:val="000000"/>
                <w:sz w:val="28"/>
                <w:szCs w:val="28"/>
              </w:rPr>
              <w:t>(10)</w:t>
            </w:r>
          </w:p>
        </w:tc>
      </w:tr>
    </w:tbl>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Таким образом, интенсивность отказов можно определить как относительную скорость уменьшения функции надежности с увеличением времени работы.</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Типичная зависимость интенсивности отказов от времени показана на рис. 68. Область </w:t>
      </w:r>
      <w:r w:rsidRPr="006E7360">
        <w:rPr>
          <w:i/>
          <w:iCs/>
          <w:color w:val="000000"/>
          <w:sz w:val="28"/>
          <w:szCs w:val="28"/>
        </w:rPr>
        <w:t>1</w:t>
      </w:r>
      <w:r w:rsidRPr="006E7360">
        <w:rPr>
          <w:color w:val="000000"/>
          <w:sz w:val="28"/>
          <w:szCs w:val="28"/>
        </w:rPr>
        <w:t> – это ранние отказы, в основном из-за производственных дефектов. Обычно они выявляются за достаточно короткий период «приработки». С этой целью до введения в эксплуатацию производят «прогон» изделия.</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"http://textarchive.ru/images/1478/2955571/6245174c.gif" \* MERGEFORMATINET </w:instrText>
      </w:r>
      <w:r w:rsidRPr="006E7360">
        <w:rPr>
          <w:color w:val="000000"/>
          <w:sz w:val="28"/>
          <w:szCs w:val="28"/>
        </w:rPr>
        <w:fldChar w:fldCharType="separate"/>
      </w:r>
      <w:r w:rsidRPr="006E7360">
        <w:rPr>
          <w:color w:val="000000"/>
          <w:sz w:val="28"/>
          <w:szCs w:val="28"/>
        </w:rPr>
        <w:pict>
          <v:shape id="_x0000_i1026" type="#_x0000_t75" style="width:333.5pt;height:92.5pt">
            <v:imagedata r:id="rId6" r:href="rId7"/>
          </v:shape>
        </w:pict>
      </w:r>
      <w:r w:rsidRPr="006E7360">
        <w:rPr>
          <w:color w:val="000000"/>
          <w:sz w:val="28"/>
          <w:szCs w:val="28"/>
        </w:rPr>
        <w:fldChar w:fldCharType="end"/>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Область </w:t>
      </w:r>
      <w:r w:rsidRPr="006E7360">
        <w:rPr>
          <w:i/>
          <w:iCs/>
          <w:color w:val="000000"/>
          <w:sz w:val="28"/>
          <w:szCs w:val="28"/>
        </w:rPr>
        <w:t>2</w:t>
      </w:r>
      <w:r w:rsidRPr="006E7360">
        <w:rPr>
          <w:color w:val="000000"/>
          <w:sz w:val="28"/>
          <w:szCs w:val="28"/>
        </w:rPr>
        <w:t> – это область нормальной эксплуатации, в которой интенсивность отказов практически постоянна, а отказы можно считать абсолютно случайными, не зависящими ни от каких факторов. В области </w:t>
      </w:r>
      <w:r w:rsidRPr="006E7360">
        <w:rPr>
          <w:i/>
          <w:iCs/>
          <w:color w:val="000000"/>
          <w:sz w:val="28"/>
          <w:szCs w:val="28"/>
        </w:rPr>
        <w:t>3</w:t>
      </w:r>
      <w:r w:rsidRPr="006E7360">
        <w:rPr>
          <w:color w:val="000000"/>
          <w:sz w:val="28"/>
          <w:szCs w:val="28"/>
        </w:rPr>
        <w:t> интенсивность отказов со временем повышается из-за старения и износа (у механических элементов). При постоянной интенсивности отказов из (10) следует, что функция надежности изменяется в зависимости от времени работы по экспоненциальному закону:</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5970"/>
        <w:gridCol w:w="570"/>
      </w:tblGrid>
      <w:tr w:rsidR="009F4418" w:rsidRPr="006E7360" w:rsidTr="0038423B">
        <w:trPr>
          <w:tblCellSpacing w:w="15" w:type="dxa"/>
        </w:trPr>
        <w:tc>
          <w:tcPr>
            <w:tcW w:w="5925" w:type="dxa"/>
            <w:tcBorders>
              <w:top w:val="nil"/>
              <w:left w:val="nil"/>
              <w:bottom w:val="nil"/>
              <w:right w:val="nil"/>
            </w:tcBorders>
            <w:shd w:val="clear" w:color="auto" w:fill="F9F9F7"/>
          </w:tcPr>
          <w:p w:rsidR="009F4418" w:rsidRPr="006E7360" w:rsidRDefault="009F4418"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"http://textarchive.ru/images/1478/2955571/94896cbf.gif" \* MERGEFORMATINET </w:instrText>
            </w:r>
            <w:r w:rsidRPr="006E7360">
              <w:rPr>
                <w:color w:val="000000"/>
                <w:sz w:val="28"/>
                <w:szCs w:val="28"/>
              </w:rPr>
              <w:fldChar w:fldCharType="separate"/>
            </w:r>
            <w:r w:rsidRPr="006E7360">
              <w:rPr>
                <w:color w:val="000000"/>
                <w:sz w:val="28"/>
                <w:szCs w:val="28"/>
              </w:rPr>
              <w:pict>
                <v:shape id="_x0000_i1027" type="#_x0000_t75" style="width:149pt;height:31.5pt">
                  <v:imagedata r:id="rId8" r:href="rId9"/>
                </v:shape>
              </w:pict>
            </w:r>
            <w:r w:rsidRPr="006E7360">
              <w:rPr>
                <w:color w:val="000000"/>
                <w:sz w:val="28"/>
                <w:szCs w:val="28"/>
              </w:rPr>
              <w:fldChar w:fldCharType="end"/>
            </w:r>
          </w:p>
        </w:tc>
        <w:tc>
          <w:tcPr>
            <w:tcW w:w="525" w:type="dxa"/>
            <w:tcBorders>
              <w:top w:val="nil"/>
              <w:left w:val="nil"/>
              <w:bottom w:val="nil"/>
              <w:right w:val="nil"/>
            </w:tcBorders>
            <w:shd w:val="clear" w:color="auto" w:fill="F9F9F7"/>
          </w:tcPr>
          <w:p w:rsidR="009F4418" w:rsidRPr="006E7360" w:rsidRDefault="009F4418" w:rsidP="0038423B">
            <w:pPr>
              <w:ind w:firstLine="709"/>
              <w:jc w:val="both"/>
              <w:rPr>
                <w:color w:val="000000"/>
                <w:sz w:val="28"/>
                <w:szCs w:val="28"/>
              </w:rPr>
            </w:pPr>
          </w:p>
        </w:tc>
      </w:tr>
    </w:tbl>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Среднее время наработки на отказ, или математическое ожидание времени наработки,</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750"/>
      </w:tblGrid>
      <w:tr w:rsidR="009F4418" w:rsidRPr="006E7360" w:rsidTr="0038423B">
        <w:trPr>
          <w:tblCellSpacing w:w="15" w:type="dxa"/>
        </w:trPr>
        <w:tc>
          <w:tcPr>
            <w:tcW w:w="6690" w:type="dxa"/>
            <w:tcBorders>
              <w:top w:val="nil"/>
              <w:left w:val="nil"/>
              <w:bottom w:val="nil"/>
              <w:right w:val="nil"/>
            </w:tcBorders>
            <w:shd w:val="clear" w:color="auto" w:fill="F9F9F7"/>
          </w:tcPr>
          <w:p w:rsidR="009F4418" w:rsidRPr="006E7360" w:rsidRDefault="009F4418"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"http://textarchive.ru/images/1478/2955571/c03531b1.gif" \* MERGEFORMATINET </w:instrText>
            </w:r>
            <w:r w:rsidRPr="006E7360">
              <w:rPr>
                <w:color w:val="000000"/>
                <w:sz w:val="28"/>
                <w:szCs w:val="28"/>
              </w:rPr>
              <w:fldChar w:fldCharType="separate"/>
            </w:r>
            <w:r w:rsidRPr="006E7360">
              <w:rPr>
                <w:color w:val="000000"/>
                <w:sz w:val="28"/>
                <w:szCs w:val="28"/>
              </w:rPr>
              <w:pict>
                <v:shape id="_x0000_i1028" type="#_x0000_t75" style="width:152pt;height:33pt">
                  <v:imagedata r:id="rId10" r:href="rId11"/>
                </v:shape>
              </w:pict>
            </w:r>
            <w:r w:rsidRPr="006E7360">
              <w:rPr>
                <w:color w:val="000000"/>
                <w:sz w:val="28"/>
                <w:szCs w:val="28"/>
              </w:rPr>
              <w:fldChar w:fldCharType="end"/>
            </w:r>
          </w:p>
        </w:tc>
      </w:tr>
    </w:tbl>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sym w:font="Symbol" w:char="F044"/>
      </w:r>
      <w:r w:rsidRPr="006E7360">
        <w:rPr>
          <w:color w:val="000000"/>
          <w:sz w:val="28"/>
          <w:szCs w:val="28"/>
        </w:rPr>
        <w:t xml:space="preserve">Связь между средним временем наработки и интенсивностью отказов, если она постоянна, можно также пояснить следующим образом. Из определения (9) следует, что число отказов за время </w:t>
      </w:r>
      <w:r w:rsidRPr="006E7360">
        <w:rPr>
          <w:i/>
          <w:iCs/>
          <w:color w:val="000000"/>
          <w:sz w:val="28"/>
          <w:szCs w:val="28"/>
        </w:rPr>
        <w:t>t</w:t>
      </w:r>
      <w:r w:rsidRPr="006E7360">
        <w:rPr>
          <w:color w:val="000000"/>
          <w:sz w:val="28"/>
          <w:szCs w:val="28"/>
        </w:rPr>
        <w:t> </w:t>
      </w:r>
      <w:r w:rsidRPr="006E7360">
        <w:rPr>
          <w:color w:val="000000"/>
          <w:sz w:val="28"/>
          <w:szCs w:val="28"/>
        </w:rPr>
        <w:sym w:font="Symbol" w:char="F06C"/>
      </w:r>
      <w:r w:rsidRPr="006E7360">
        <w:rPr>
          <w:color w:val="000000"/>
          <w:sz w:val="28"/>
          <w:szCs w:val="28"/>
        </w:rPr>
        <w:t xml:space="preserve">равно </w:t>
      </w:r>
      <w:r w:rsidRPr="006E7360">
        <w:rPr>
          <w:i/>
          <w:iCs/>
          <w:color w:val="000000"/>
          <w:sz w:val="28"/>
          <w:szCs w:val="28"/>
        </w:rPr>
        <w:t>N</w:t>
      </w:r>
      <w:r w:rsidRPr="006E7360">
        <w:rPr>
          <w:color w:val="000000"/>
          <w:sz w:val="28"/>
          <w:szCs w:val="28"/>
        </w:rPr>
        <w:sym w:font="Symbol" w:char="F044"/>
      </w:r>
      <w:r w:rsidRPr="006E7360">
        <w:rPr>
          <w:i/>
          <w:iCs/>
          <w:color w:val="000000"/>
          <w:sz w:val="28"/>
          <w:szCs w:val="28"/>
        </w:rPr>
        <w:t>t</w:t>
      </w:r>
      <w:r w:rsidRPr="006E7360">
        <w:rPr>
          <w:color w:val="000000"/>
          <w:sz w:val="28"/>
          <w:szCs w:val="28"/>
        </w:rPr>
        <w:sym w:font="Symbol" w:char="F044"/>
      </w:r>
      <w:r w:rsidRPr="006E7360">
        <w:rPr>
          <w:color w:val="000000"/>
          <w:sz w:val="28"/>
          <w:szCs w:val="28"/>
        </w:rPr>
        <w:t xml:space="preserve">, то есть среднее время между отказами </w:t>
      </w:r>
      <w:r w:rsidRPr="006E7360">
        <w:rPr>
          <w:i/>
          <w:iCs/>
          <w:color w:val="000000"/>
          <w:sz w:val="28"/>
          <w:szCs w:val="28"/>
        </w:rPr>
        <w:t>t</w:t>
      </w:r>
      <w:r w:rsidRPr="006E7360">
        <w:rPr>
          <w:color w:val="000000"/>
          <w:sz w:val="28"/>
          <w:szCs w:val="28"/>
        </w:rPr>
        <w:sym w:font="Symbol" w:char="F044"/>
      </w:r>
      <w:r w:rsidRPr="006E7360">
        <w:rPr>
          <w:color w:val="000000"/>
          <w:sz w:val="28"/>
          <w:szCs w:val="28"/>
        </w:rPr>
        <w:t>/</w:t>
      </w:r>
      <w:r w:rsidRPr="006E7360">
        <w:rPr>
          <w:i/>
          <w:iCs/>
          <w:color w:val="000000"/>
          <w:sz w:val="28"/>
          <w:szCs w:val="28"/>
        </w:rPr>
        <w:t>N</w:t>
      </w:r>
      <w:r w:rsidRPr="006E7360">
        <w:rPr>
          <w:color w:val="000000"/>
          <w:sz w:val="28"/>
          <w:szCs w:val="28"/>
        </w:rPr>
        <w:t> </w:t>
      </w:r>
      <w:r w:rsidRPr="006E7360">
        <w:rPr>
          <w:color w:val="000000"/>
          <w:sz w:val="28"/>
          <w:szCs w:val="28"/>
        </w:rPr>
        <w:sym w:font="Symbol" w:char="F06C"/>
      </w:r>
      <w:r w:rsidRPr="006E7360">
        <w:rPr>
          <w:color w:val="000000"/>
          <w:sz w:val="28"/>
          <w:szCs w:val="28"/>
        </w:rPr>
        <w:t>= 1/(</w:t>
      </w:r>
      <w:r w:rsidRPr="006E7360">
        <w:rPr>
          <w:i/>
          <w:iCs/>
          <w:color w:val="000000"/>
          <w:sz w:val="28"/>
          <w:szCs w:val="28"/>
        </w:rPr>
        <w:t>N</w:t>
      </w:r>
      <w:r w:rsidRPr="006E7360">
        <w:rPr>
          <w:color w:val="000000"/>
          <w:sz w:val="28"/>
          <w:szCs w:val="28"/>
        </w:rPr>
        <w:t>.</w:t>
      </w:r>
      <w:r w:rsidRPr="006E7360">
        <w:rPr>
          <w:color w:val="000000"/>
          <w:sz w:val="28"/>
          <w:szCs w:val="28"/>
        </w:rPr>
        <w:sym w:font="Symbol" w:char="F06C"/>
      </w:r>
      <w:r w:rsidRPr="006E7360">
        <w:rPr>
          <w:color w:val="000000"/>
          <w:sz w:val="28"/>
          <w:szCs w:val="28"/>
        </w:rPr>
        <w:t>). Если речь идет об одном изделии, то оно отказывает в среднем через время 1/</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процессе старения отказ изделия зависит от многих факторов и функция плотности распределения наработки на отказ близка к нормальному закону (кривая 2 на рис. 67).</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Интенсивность отказов зависит от технологии изготовления изделий, нагрузки и условий работы. Отрицательную роль играют такие факторы, как плесень, масло, грязь, мыши, насекомые и т.д. Увеличение интенсивности отказов в экстремальных условиях работы учитывают введением коэффициентов, устанавливаемых опытным путем. В частности, в литературе </w:t>
      </w:r>
      <w:r w:rsidRPr="006E7360">
        <w:rPr>
          <w:color w:val="000000"/>
          <w:sz w:val="28"/>
          <w:szCs w:val="28"/>
        </w:rPr>
        <w:lastRenderedPageBreak/>
        <w:t>приводятся такие данные: для аппаратуры, установленной на кораблях, коэффициент равен 20, на самолетах –150, на ракетах – до 1000. Для повышения надежности работы электронных элементов не рекомендуется их использование в режимах, близких к максимально допустимым.</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При расчетах надежности систем, состоящих из многих элементов, составляют условную схему из параллельно соединенных резервированных элементов и последовательно соединенных нерезервированных элементов. Отказы нерезервированных элементов считаются независимыми, поэтому вероятность безотказной работы последовательного соединения определяется как произведение вероятностей безотказной работы отдельных элементов. При экспоненциальном распределении функции надежности интенсивность отказов системы является суммой интенсивностей отказов элементов:</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750"/>
      </w:tblGrid>
      <w:tr w:rsidR="009F4418" w:rsidRPr="006E7360" w:rsidTr="0038423B">
        <w:trPr>
          <w:tblCellSpacing w:w="15" w:type="dxa"/>
        </w:trPr>
        <w:tc>
          <w:tcPr>
            <w:tcW w:w="6690" w:type="dxa"/>
            <w:tcBorders>
              <w:top w:val="nil"/>
              <w:left w:val="nil"/>
              <w:bottom w:val="nil"/>
              <w:right w:val="nil"/>
            </w:tcBorders>
            <w:shd w:val="clear" w:color="auto" w:fill="F9F9F7"/>
          </w:tcPr>
          <w:p w:rsidR="009F4418" w:rsidRPr="006E7360" w:rsidRDefault="009F4418"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"http://textarchive.ru/images/1478/2955571/b2d81052.gif" \* MERGEFORMATINET </w:instrText>
            </w:r>
            <w:r w:rsidRPr="006E7360">
              <w:rPr>
                <w:color w:val="000000"/>
                <w:sz w:val="28"/>
                <w:szCs w:val="28"/>
              </w:rPr>
              <w:fldChar w:fldCharType="separate"/>
            </w:r>
            <w:r w:rsidRPr="006E7360">
              <w:rPr>
                <w:color w:val="000000"/>
                <w:sz w:val="28"/>
                <w:szCs w:val="28"/>
              </w:rPr>
              <w:pict>
                <v:shape id="_x0000_i1029" type="#_x0000_t75" style="width:153.5pt;height:21.5pt">
                  <v:imagedata r:id="rId12" r:href="rId13"/>
                </v:shape>
              </w:pict>
            </w:r>
            <w:r w:rsidRPr="006E7360">
              <w:rPr>
                <w:color w:val="000000"/>
                <w:sz w:val="28"/>
                <w:szCs w:val="28"/>
              </w:rPr>
              <w:fldChar w:fldCharType="end"/>
            </w:r>
          </w:p>
        </w:tc>
      </w:tr>
    </w:tbl>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Вероятность безотказной работы параллельного соединения элементов определяется как </w:t>
      </w:r>
      <w:r w:rsidRPr="006E7360">
        <w:rPr>
          <w:i/>
          <w:iCs/>
          <w:color w:val="000000"/>
          <w:sz w:val="28"/>
          <w:szCs w:val="28"/>
        </w:rPr>
        <w:t>R</w:t>
      </w:r>
      <w:r w:rsidRPr="006E7360">
        <w:rPr>
          <w:color w:val="000000"/>
          <w:sz w:val="28"/>
          <w:szCs w:val="28"/>
        </w:rPr>
        <w:t> = 1 – </w:t>
      </w:r>
      <w:r w:rsidRPr="006E7360">
        <w:rPr>
          <w:i/>
          <w:iCs/>
          <w:color w:val="000000"/>
          <w:sz w:val="28"/>
          <w:szCs w:val="28"/>
        </w:rPr>
        <w:t>Q</w:t>
      </w:r>
      <w:r w:rsidRPr="006E7360">
        <w:rPr>
          <w:color w:val="000000"/>
          <w:sz w:val="28"/>
          <w:szCs w:val="28"/>
        </w:rPr>
        <w:t>, где вероятность отказа параллельного соединения определяется как произведение вероятностей отказов элементов: </w:t>
      </w:r>
      <w:r w:rsidRPr="006E7360">
        <w:rPr>
          <w:color w:val="000000"/>
          <w:sz w:val="28"/>
          <w:szCs w:val="28"/>
        </w:rPr>
        <w:fldChar w:fldCharType="begin"/>
      </w:r>
      <w:r w:rsidRPr="006E7360">
        <w:rPr>
          <w:color w:val="000000"/>
          <w:sz w:val="28"/>
          <w:szCs w:val="28"/>
        </w:rPr>
        <w:instrText xml:space="preserve"> INCLUDEPICTURE "http://textarchive.ru/images/1478/2955571/3c56f60a.gif" \* MERGEFORMATINET </w:instrText>
      </w:r>
      <w:r w:rsidRPr="006E7360">
        <w:rPr>
          <w:color w:val="000000"/>
          <w:sz w:val="28"/>
          <w:szCs w:val="28"/>
        </w:rPr>
        <w:fldChar w:fldCharType="separate"/>
      </w:r>
      <w:r w:rsidRPr="006E7360">
        <w:rPr>
          <w:color w:val="000000"/>
          <w:sz w:val="28"/>
          <w:szCs w:val="28"/>
        </w:rPr>
        <w:pict>
          <v:shape id="_x0000_i1030" type="#_x0000_t75" style="width:57.5pt;height:19pt">
            <v:imagedata r:id="rId14" r:href="rId15"/>
          </v:shape>
        </w:pict>
      </w:r>
      <w:r w:rsidRPr="006E7360">
        <w:rPr>
          <w:color w:val="000000"/>
          <w:sz w:val="28"/>
          <w:szCs w:val="28"/>
        </w:rPr>
        <w:fldChar w:fldCharType="end"/>
      </w:r>
      <w:r w:rsidRPr="006E7360">
        <w:rPr>
          <w:color w:val="000000"/>
          <w:sz w:val="28"/>
          <w:szCs w:val="28"/>
        </w:rPr>
        <w:t>.</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Изделие, ремонтируемое в процессе эксплуатации, характеризуется коэффициентом готовности (availability), который равен отношению времени исправности изделия ко всему времени эксплуатации. Среднее время восстановления – это время, проходящее от момента отказа до момента восстановления работоспособности.</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Библиографический список</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1. </w:t>
      </w:r>
      <w:r w:rsidRPr="006E7360">
        <w:rPr>
          <w:b/>
          <w:bCs/>
          <w:color w:val="000000"/>
          <w:sz w:val="28"/>
          <w:szCs w:val="28"/>
        </w:rPr>
        <w:t>Хайкин, А.Б.</w:t>
      </w:r>
      <w:r w:rsidRPr="006E7360">
        <w:rPr>
          <w:color w:val="000000"/>
          <w:sz w:val="28"/>
          <w:szCs w:val="28"/>
        </w:rPr>
        <w:t> Элементы судовой автоматики / А.Б. Хайкин, Н.Е. Жадобин. – Л.: Судостроение, 1982.</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2. Элементы судовой автоматики / под ред. Р.А. Нелепина.– Л.: Судостроение, 1976. – 365 с.</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3. </w:t>
      </w:r>
      <w:r w:rsidRPr="006E7360">
        <w:rPr>
          <w:b/>
          <w:bCs/>
          <w:color w:val="000000"/>
          <w:sz w:val="28"/>
          <w:szCs w:val="28"/>
        </w:rPr>
        <w:t>Королев, Г.В.</w:t>
      </w:r>
      <w:r w:rsidRPr="006E7360">
        <w:rPr>
          <w:color w:val="000000"/>
          <w:sz w:val="28"/>
          <w:szCs w:val="28"/>
        </w:rPr>
        <w:t> Электронные устройства автоматики / Г.В. Королёв. – М.: Высш. шк., 1991. – 256 с.</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4. Датчики измерительных систем. Т.1, 2 / Ж. Аш [и др.]. М.: Мир, 1992. – 480 с, 419 с.</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5. </w:t>
      </w:r>
      <w:r w:rsidRPr="006E7360">
        <w:rPr>
          <w:b/>
          <w:bCs/>
          <w:color w:val="000000"/>
          <w:sz w:val="28"/>
          <w:szCs w:val="28"/>
        </w:rPr>
        <w:t>Виглеб, Г</w:t>
      </w:r>
      <w:r w:rsidRPr="006E7360">
        <w:rPr>
          <w:color w:val="000000"/>
          <w:sz w:val="28"/>
          <w:szCs w:val="28"/>
        </w:rPr>
        <w:t>. Датчики / Г. Виглеб. – М.: Мир, 1989. – 196 с.</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6. </w:t>
      </w:r>
      <w:r w:rsidRPr="006E7360">
        <w:rPr>
          <w:b/>
          <w:bCs/>
          <w:color w:val="000000"/>
          <w:sz w:val="28"/>
          <w:szCs w:val="28"/>
        </w:rPr>
        <w:t>Ратхор, Т.С</w:t>
      </w:r>
      <w:r w:rsidRPr="006E7360">
        <w:rPr>
          <w:color w:val="000000"/>
          <w:sz w:val="28"/>
          <w:szCs w:val="28"/>
        </w:rPr>
        <w:t>. Цифровые измерения. Методы и схемотехника / Т.С. Ратхор. – М.: Техносфера, 2004. – 370 с.</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7. </w:t>
      </w:r>
      <w:r w:rsidRPr="006E7360">
        <w:rPr>
          <w:b/>
          <w:bCs/>
          <w:color w:val="000000"/>
          <w:sz w:val="28"/>
          <w:szCs w:val="28"/>
        </w:rPr>
        <w:t>Волков, Н.И</w:t>
      </w:r>
      <w:r w:rsidRPr="006E7360">
        <w:rPr>
          <w:color w:val="000000"/>
          <w:sz w:val="28"/>
          <w:szCs w:val="28"/>
        </w:rPr>
        <w:t>. Электромашинные устройства автоматики / Н.И. Волков, В.Д. Миловзоров. – М.: Высш.шк., 1986. – 335 с.</w:t>
      </w:r>
    </w:p>
    <w:p w:rsidR="009F4418" w:rsidRPr="006E7360" w:rsidRDefault="009F4418" w:rsidP="009F4418">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8. </w:t>
      </w:r>
      <w:r w:rsidRPr="006E7360">
        <w:rPr>
          <w:b/>
          <w:bCs/>
          <w:color w:val="000000"/>
          <w:sz w:val="28"/>
          <w:szCs w:val="28"/>
        </w:rPr>
        <w:t>Шишмарев, В.Ю</w:t>
      </w:r>
      <w:r w:rsidRPr="006E7360">
        <w:rPr>
          <w:color w:val="000000"/>
          <w:sz w:val="28"/>
          <w:szCs w:val="28"/>
        </w:rPr>
        <w:t>. Типовые элементы систем автоматического управления / В.Ю. Шишмарев. – М.: Академия, 2006. – 304 с.</w:t>
      </w:r>
    </w:p>
    <w:p w:rsidR="0096125D" w:rsidRDefault="0096125D">
      <w:bookmarkStart w:id="0" w:name="_GoBack"/>
      <w:bookmarkEnd w:id="0"/>
    </w:p>
    <w:sectPr w:rsidR="009612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9AC"/>
    <w:rsid w:val="0096125D"/>
    <w:rsid w:val="009F4418"/>
    <w:rsid w:val="00EA79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21D2B9-7E93-4C0C-92A5-A37B085E7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4418"/>
    <w:pPr>
      <w:spacing w:after="0" w:line="240" w:lineRule="auto"/>
    </w:pPr>
    <w:rPr>
      <w:rFonts w:ascii="Times New Roman" w:eastAsia="Batang" w:hAnsi="Times New Roman" w:cs="Times New Roman"/>
      <w:sz w:val="24"/>
      <w:szCs w:val="24"/>
      <w:lang w:eastAsia="ko-KR"/>
    </w:rPr>
  </w:style>
  <w:style w:type="paragraph" w:styleId="6">
    <w:name w:val="heading 6"/>
    <w:basedOn w:val="a"/>
    <w:link w:val="60"/>
    <w:qFormat/>
    <w:rsid w:val="009F4418"/>
    <w:pPr>
      <w:spacing w:before="100" w:beforeAutospacing="1" w:after="100" w:afterAutospacing="1"/>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9F4418"/>
    <w:rPr>
      <w:rFonts w:ascii="Times New Roman" w:eastAsia="Batang" w:hAnsi="Times New Roman" w:cs="Times New Roman"/>
      <w:b/>
      <w:bCs/>
      <w:sz w:val="15"/>
      <w:szCs w:val="15"/>
      <w:lang w:eastAsia="ko-KR"/>
    </w:rPr>
  </w:style>
  <w:style w:type="paragraph" w:styleId="a3">
    <w:basedOn w:val="a"/>
    <w:next w:val="a4"/>
    <w:rsid w:val="009F4418"/>
    <w:pPr>
      <w:spacing w:before="100" w:beforeAutospacing="1" w:after="100" w:afterAutospacing="1"/>
    </w:pPr>
  </w:style>
  <w:style w:type="paragraph" w:styleId="a4">
    <w:name w:val="Normal (Web)"/>
    <w:basedOn w:val="a"/>
    <w:uiPriority w:val="99"/>
    <w:semiHidden/>
    <w:unhideWhenUsed/>
    <w:rsid w:val="009F44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http://textarchive.ru/images/1478/2955571/b2d81052.gif" TargetMode="External"/><Relationship Id="rId3" Type="http://schemas.openxmlformats.org/officeDocument/2006/relationships/webSettings" Target="webSettings.xml"/><Relationship Id="rId7" Type="http://schemas.openxmlformats.org/officeDocument/2006/relationships/image" Target="http://textarchive.ru/images/1478/2955571/6245174c.gif"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http://textarchive.ru/images/1478/2955571/c03531b1.gif" TargetMode="External"/><Relationship Id="rId5" Type="http://schemas.openxmlformats.org/officeDocument/2006/relationships/image" Target="http://textarchive.ru/images/1478/2955571/378ef3f6.gif" TargetMode="External"/><Relationship Id="rId15" Type="http://schemas.openxmlformats.org/officeDocument/2006/relationships/image" Target="http://textarchive.ru/images/1478/2955571/3c56f60a.gif" TargetMode="External"/><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image" Target="http://textarchive.ru/images/1478/2955571/94896cbf.gif" TargetMode="External"/><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1090</Words>
  <Characters>6213</Characters>
  <Application>Microsoft Office Word</Application>
  <DocSecurity>0</DocSecurity>
  <Lines>51</Lines>
  <Paragraphs>14</Paragraphs>
  <ScaleCrop>false</ScaleCrop>
  <Company>SPecialiST RePack</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2024-09-27T00:16:00Z</dcterms:created>
  <dcterms:modified xsi:type="dcterms:W3CDTF">2024-09-27T00:16:00Z</dcterms:modified>
</cp:coreProperties>
</file>