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7A3" w:rsidRPr="006E7360" w:rsidRDefault="000247A3" w:rsidP="000247A3">
      <w:pPr>
        <w:pStyle w:val="6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5. Согласование элементов системы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Согласование элементов системы является необходимым условием ее работы. Согласуются физические параметры сигналов (форма сигнала, уровни напряжения и тока) и протокол взаимодействия элементов (состав и порядок обмена сигналами). Согласование необходимо на всех уровнях: при соединении элементов внутри блоков, при межблочных соединениях, при подключении внешних устройств. Особенно важно согласование «слаботочной» системы управления с объектом, который является источником достаточно мощных и опасных воздействий, вызванных авариями, короткими замыканиями, пусковыми токами и т.д. В современных системах это согласование управляющего компьютера с датчиками состояния объекта, исполнительными элементами и органами управления и отображения информации.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Согласно статистике, 20% зарегистрированных отказов компьютерных систем управления вызваны ошибками при вводе систем в эксплуатацию, прежде всего неправильной установкой перемычек на платах и ошибками программирования обращений к устройствам ввода-вывода. 90% действительных неисправностей возникают из-за аварий на объекте и неправильной эксплуатации. Некоторые причины отказов очевидны: превышение напряжений питания и токов нагрузки, напряжений сигналов, поступающих с объекта управления. Примеры менее очевидных причин отказов: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выход из строя электронных компонентов из-за разрядов статического электричества. Потенциалы зарядов на руках и одежде достигают киловольт и пробивают микросхемы при прикосновении к выводам. Статическое электричество особенно опасно для микросхем, изготовленных по КМОП-технологии, но и ТТЛ-элементы могут выходить из строя,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неправильная последовательность подачи сигналов и замена модулей без отключения питания. Для некоторых типов микросхем входные сигналы нельзя подавать прежде подачи напряжения питания. При замене плат различные контакты замыкаются в разное время, что может привести к выходу микросхемы из строя,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отсутствие гальванической развязки между компьютером и объектом. Токи утечки с объекта создают достаточно высокое напряжение между общим проводом, соединяющим компьютер и объект, и «землей». Потенциал «земли» в разных точках оказывается разным. Если заземлить общий провод у компьютера, цепь замкнется и по общему проводу пойдет ток, опасный для компьютера,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возникновение помех из-за внешних наводок, в том числе от разрядов молнии, на соединительных проводах, играющих роль антенн, а также из-за зарядов и разрядов паразитных емкостей соединительных проводов. Помехи особенно опасны для цифровых устройств, так как вызывают сбои запоминающих элементов – триггеров, регистров.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Датчики, установленные на объекте, обычно выдают стандартизованные сигналы, аналоговые или дискретные. Последние передают логическую </w:t>
      </w:r>
      <w:r w:rsidRPr="006E7360">
        <w:rPr>
          <w:color w:val="000000"/>
          <w:sz w:val="28"/>
          <w:szCs w:val="28"/>
        </w:rPr>
        <w:lastRenderedPageBreak/>
        <w:t>информацию о состоянии объекта (типа включен – выключен) или численные значения величин, передаваемые по параллельному или последовательному интерфейсу. Логические сигналы поступают с пороговых датчиков, кнопок управления, конечных выключателей и других источников в виде напряжений стандартных уровней или «сухих» контактов. В цепях передачи контактных сигналов применяются аппаратные или программные методы исключения влияния дребезга контактов при переключении. В цепях передачи сигналов с пороговых датчиков устанавливаются триггеры Шмидта с гистерезисной характеристикой, исключающей случайные переключения логического сигнала вблизи порогового значения контролируемой величины.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Источники дискретных сигналов подключают к портам ввода – вывода компьютера, как правило, через встроенные или выполненные в виде отдельных модулей изолирующие усилители. Они содержат элементы гальванической развязки, элементы защиты от перенапряжения (подключенные параллельно диоды или стабилитроны), фильтры, в некоторых случаях – резисторы для ограничения тока.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Аналоговые сигналы с датчиков преобразуются в цифровые коды многоканальным аналого-цифровым преобразователем (АЦП). Номер канала задается компьютером. Диапазон входного сигнала и способ его подключения (двухпроводный или однопроводный) обычно программируются. В некоторые АЦП встраиваются элементы гальванической развязки. Для аналоговых сигналов эти элементы сложнее, чем для дискретных. Датчики с импульсным или частотным выходом подключаются к компьютеру через специальные модули согласования.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Управление исполнительными элементами, принимающими дискретные сигналы, осуществляется компьютером через изолирующие усилители или блоки реле с сухими контактами, пропорциональное управление – через модули цифроаналоговых преобразователей (ЦАП). Для управления серводвигателями методом широтно-импульсной модуляции и управления шаговыми двигателями применяются специальные модули.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Метод уравновешивающего заряда </w:t>
      </w:r>
      <w:r w:rsidRPr="006E7360">
        <w:rPr>
          <w:color w:val="000000"/>
          <w:sz w:val="28"/>
          <w:szCs w:val="28"/>
        </w:rPr>
        <w:t>применяется при согласовании вторичного преобразователя с чувствительным элементом, являющимся очень высокоомным источником напряжения. Для него подключение нагрузки в несколько мегом может восприниматься как короткое замыкание. Идею метода поясняет рис.55 на примере измерения рН-показателя (уровня кислотности). Источник сигнала – электрод, собирающий ионы определенной полярности из раствора, заряжает конденсатор С через резистор с очень большим сопротивлением (10 ГОм). Конденсатор – специального типа, при монтаже RC- цепочки применяются все возможные меры для ис-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"http://textarchive.ru/images/1478/2955571/20ec9730.gif"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Pr="006E7360"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5.5pt;height:75.5pt">
            <v:imagedata r:id="rId4" r:href="rId5"/>
          </v:shape>
        </w:pict>
      </w:r>
      <w:r w:rsidRPr="006E7360">
        <w:rPr>
          <w:color w:val="000000"/>
          <w:sz w:val="28"/>
          <w:szCs w:val="28"/>
        </w:rPr>
        <w:fldChar w:fldCharType="end"/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lastRenderedPageBreak/>
        <w:t>ключения утечки. Ключи К1, К2 периодически устанавливаются на короткое время в положение 2, при этом конденсатор С разряжается, создавая импульсы тока. Они заряжают интегрирующий конденсатор С3 небольшими порциями. В результате заряда конденсатора С3 выходное напряжение U</w:t>
      </w:r>
      <w:r w:rsidRPr="006E7360">
        <w:rPr>
          <w:color w:val="000000"/>
          <w:sz w:val="28"/>
          <w:szCs w:val="28"/>
          <w:vertAlign w:val="subscript"/>
        </w:rPr>
        <w:t>2 </w:t>
      </w:r>
      <w:r w:rsidRPr="006E7360">
        <w:rPr>
          <w:color w:val="000000"/>
          <w:sz w:val="28"/>
          <w:szCs w:val="28"/>
        </w:rPr>
        <w:t>становится равным измеряемому напряжению U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 на конденсаторе С и перевод ключа К1 в положение 2 не приводит к изменению напряжения U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. Схема работает как следящая система. Конденсаторы С1, С2 играют роль разделительных.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5.1. Основные источники помех и меры борьбы с ними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Внутриплатные помехи </w:t>
      </w:r>
      <w:r w:rsidRPr="006E7360">
        <w:rPr>
          <w:color w:val="000000"/>
          <w:sz w:val="28"/>
          <w:szCs w:val="28"/>
        </w:rPr>
        <w:t>возникают в основномиз-за бросков токана шинах питания при переключении логических элементов, особенно мощных выходных каскадов. Логический элемент можно упрощенно представить как управляемый ключ, соединяющий нагрузку с источником питания, когда транзистор «закрыт», или с общим проводом, когда транзистор «открыт» (рис.56,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).При переходе ключа К1 в положение 1 происходит увеличение тока в шине питания, вызывающее появление на шине,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159"/>
      </w:tblGrid>
      <w:tr w:rsidR="000247A3" w:rsidRPr="006E7360" w:rsidTr="0038423B">
        <w:trPr>
          <w:trHeight w:val="1980"/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0247A3" w:rsidRPr="006E7360" w:rsidRDefault="000247A3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"http://textarchive.ru/images/1478/2955571/c15d1440.gif"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6" type="#_x0000_t75" style="width:318pt;height:115pt">
                  <v:imagedata r:id="rId6" r:href="rId7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56. Примеры источников помех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вследствие влияния ее индуктивности, короткого импульса отрицательной полярности. Если ключ К2 находится в положении 1, а ключ К3 в положении 0, то этот импульс может на короткое время перевести ключ К3 в состояние 1. Перевод ключа К2 в положение 0 вызывает разряд паразитной емкости С и появление положительного импульса на общей шине. Если ключ К3 в положении 0, то этот импульс проходит на управляющий вход ключа К4 и может перевести его в состояние 0.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Влияние подобных помех ослабляют следующими способами: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шины питания делают шире, уменьшая тем самым их омическое и индуктивное сопротивления,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между шинами питания и общей шиной рядом с микросхемами устанавливают безындуктивные конденсаторы,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мощные каскады соединяют с источником питания отдельными проводниками, а маломощные каскады подключают к источникам питания через отдельные фильтры,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лишний металл не убирают с платы, а соединяют его с общей точкой. При этом уменьшаются индуктивность рядом идущих проводов и их взаимная емкостная связь.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Помехи на межплатных соединениях</w:t>
      </w:r>
      <w:r w:rsidRPr="006E7360">
        <w:rPr>
          <w:color w:val="000000"/>
          <w:sz w:val="28"/>
          <w:szCs w:val="28"/>
        </w:rPr>
        <w:t xml:space="preserve"> имеют емкостное и индуктивное происхождение. Емкостная связь с другой цепью создает синфазную помеху, </w:t>
      </w:r>
      <w:r w:rsidRPr="006E7360">
        <w:rPr>
          <w:color w:val="000000"/>
          <w:sz w:val="28"/>
          <w:szCs w:val="28"/>
        </w:rPr>
        <w:lastRenderedPageBreak/>
        <w:t>а если эта связь дополняется связью с землей, то помеха становится дифференциальной (рис. 56,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). Для защиты от емкостных наводок применяют металлические экраны.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Индуктивная помеха, возникающая в результате прохождения магнитных потоков через контур, образованный прямым и обратным проводами, дифференциальная и поэтому особенно опасная. При прокладке цепей связи источника сигнала с приемником не должно быть контуров, провода прокладывают витой парой. В этом случае ЭДС, наведенные в соседних витках, имеют противоположные знаки и компенсируют друг друга. Обычный алюминиевый экран не защищает от магнитных наводок, необходим экран из ферромагнитного материала.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Для импульсных сигналов относительно короткие соединения являются длинной линией. Кабель имеет собственную емкость порядка 100 пФ/м, волновое сопротивление кабеля 50–100 Ом, витой пары – около 100 Ом, параллельных проводников – 300–1000 Ом. В месте соединения цепей с разным волновым сопротивлением возникает отражение, искажающее форму сигнала. Цепи с разным волновым сопротивлением соединяют через согласующую схему с входным и выходным сопротивлениями, равными волновым сопротивлениям соответствующих участков цепи: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131"/>
      </w:tblGrid>
      <w:tr w:rsidR="000247A3" w:rsidRPr="006E7360" w:rsidTr="0038423B">
        <w:trPr>
          <w:tblCellSpacing w:w="15" w:type="dxa"/>
        </w:trPr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0247A3" w:rsidRPr="006E7360" w:rsidRDefault="000247A3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23825" distR="123825" simplePos="0" relativeHeight="251659264" behindDoc="0" locked="0" layoutInCell="1" allowOverlap="0">
                  <wp:simplePos x="0" y="0"/>
                  <wp:positionH relativeFrom="column">
                    <wp:posOffset>-1080135</wp:posOffset>
                  </wp:positionH>
                  <wp:positionV relativeFrom="line">
                    <wp:posOffset>-5266055</wp:posOffset>
                  </wp:positionV>
                  <wp:extent cx="542925" cy="200025"/>
                  <wp:effectExtent l="0" t="0" r="9525" b="9525"/>
                  <wp:wrapSquare wrapText="bothSides"/>
                  <wp:docPr id="1" name="Рисунок 1" descr="640fce9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640fce9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E7360">
              <w:rPr>
                <w:color w:val="000000"/>
                <w:sz w:val="28"/>
                <w:szCs w:val="28"/>
              </w:rPr>
              <w:sym w:font="Symbol" w:char="F072"/>
            </w:r>
            <w:r w:rsidRPr="006E7360">
              <w:rPr>
                <w:color w:val="000000"/>
                <w:sz w:val="28"/>
                <w:szCs w:val="28"/>
                <w:vertAlign w:val="subscript"/>
              </w:rPr>
              <w:t>1</w:t>
            </w:r>
            <w:r w:rsidRPr="006E7360">
              <w:rPr>
                <w:color w:val="000000"/>
                <w:sz w:val="28"/>
                <w:szCs w:val="28"/>
              </w:rPr>
              <w:t> z</w:t>
            </w:r>
            <w:r w:rsidRPr="006E7360">
              <w:rPr>
                <w:color w:val="000000"/>
                <w:sz w:val="28"/>
                <w:szCs w:val="28"/>
                <w:vertAlign w:val="subscript"/>
              </w:rPr>
              <w:t>1 </w:t>
            </w:r>
            <w:r w:rsidRPr="006E7360">
              <w:rPr>
                <w:color w:val="000000"/>
                <w:sz w:val="28"/>
                <w:szCs w:val="28"/>
              </w:rPr>
              <w:t>z</w:t>
            </w:r>
            <w:r w:rsidRPr="006E7360">
              <w:rPr>
                <w:color w:val="000000"/>
                <w:sz w:val="28"/>
                <w:szCs w:val="28"/>
                <w:vertAlign w:val="subscript"/>
              </w:rPr>
              <w:t>2 </w:t>
            </w:r>
            <w:r w:rsidRPr="006E7360">
              <w:rPr>
                <w:color w:val="000000"/>
                <w:sz w:val="28"/>
                <w:szCs w:val="28"/>
              </w:rPr>
              <w:t>z</w:t>
            </w:r>
            <w:r w:rsidRPr="006E7360">
              <w:rPr>
                <w:color w:val="000000"/>
                <w:sz w:val="28"/>
                <w:szCs w:val="28"/>
                <w:vertAlign w:val="subscript"/>
              </w:rPr>
              <w:t>3 </w:t>
            </w:r>
            <w:r w:rsidRPr="006E7360">
              <w:rPr>
                <w:color w:val="000000"/>
                <w:sz w:val="28"/>
                <w:szCs w:val="28"/>
              </w:rPr>
              <w:sym w:font="Symbol" w:char="F072"/>
            </w:r>
            <w:r w:rsidRPr="006E7360">
              <w:rPr>
                <w:color w:val="000000"/>
                <w:sz w:val="28"/>
                <w:szCs w:val="28"/>
                <w:vertAlign w:val="subscript"/>
              </w:rPr>
              <w:t>2</w:t>
            </w:r>
          </w:p>
          <w:p w:rsidR="000247A3" w:rsidRPr="006E7360" w:rsidRDefault="000247A3" w:rsidP="0038423B">
            <w:pPr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"http://textarchive.ru/images/1478/2955571/1db66170.gif"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7" type="#_x0000_t75" style="width:216.5pt;height:35.5pt">
                  <v:imagedata r:id="rId9" r:href="rId10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Чтобы ускорить заряд паразитных емкостей соединительной цепи и тем самым уменьшить искажения фронтов сигналов, в качестве выходных каскадов используют специальные схемы – драйверы линии с достаточно большими выходными токами и защитой от высоковольтных помех. В некоторых случаях, чтобы уменьшить токи заряда паразитных емкостей и затягивание фронтов, искусственно уменьшают сигнал в линии, подключая к линии дополнительную нагрузку.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Есть примеры введения в линию последовательно резистора с небольшим сопротивлением (50 Ом). Вместе с паразитной емкостью линии он образует фильтр низких частот. Его постоянная времени слишком мала для заметного затягивания фронтов полезных сигналов, но достаточна для ослабления высокочастотных помех.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Уменьшение дифференциальной составляющей помехи достигается симметрированием цепей. Выходной сигнал в парафазном виде выдается по двухпроводной линии (в однопроводной линии второй провод является общим). В приемнике используется дифференциальный усилитель (рис. 57,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). При однопроводных цепях связи с несколькими источниками, проложенных в общем кабеле, можно скомпенсировать помеху: снять ее с пустого провода и вычесть из сигнала, принятого с помехой (рис.57,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).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527"/>
      </w:tblGrid>
      <w:tr w:rsidR="000247A3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0247A3" w:rsidRPr="006E7360" w:rsidRDefault="000247A3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lastRenderedPageBreak/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"http://textarchive.ru/images/1478/2955571/d8cb1bbb.gif"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8" type="#_x0000_t75" style="width:336.5pt;height:91.5pt">
                  <v:imagedata r:id="rId11" r:href="rId12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t>Рис. 57. Симметрирование цепи и компенсация помехи</w:t>
            </w:r>
          </w:p>
        </w:tc>
      </w:tr>
    </w:tbl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Общие методы борьбы с помехами – это: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двухпроводная прокладка сигналов с отдельным экранированием каждой пары,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прокладка экранированных кабелей в трубах с хорошим соединением,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использование отдельной общей точки (массы) для цепей со слабыми сигналами,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фильтрация входных и выходных сигналов, в том числе цепей питания постоянного и переменного тока,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передача сигнала не напряжением, а током на нагрузку с малым (нулевым) входным сопротивлением, на котором наводки практически отсутствуют,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– выполнение заземления общего провода по определенным правилам.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Выбор точки заземления общего провода существенно влияет на уровень помех. Варианты заземления показаны на рис. 58. Вариант 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 без обратного провода – самый плохой. Токи, текущие по корпусу, создают напряжение между точками А и В, являющееся дифференциальной помехой. Это напряжение может достигать десятков вольт. Сигнальная цепь образует контур, в котором наводятся индуктивные помехи.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однопроводной цепи 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 контур отсутствует, но уровень дифференциальных помех велик, так как напряжение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АВ </w:t>
      </w:r>
      <w:r w:rsidRPr="006E7360">
        <w:rPr>
          <w:color w:val="000000"/>
          <w:sz w:val="28"/>
          <w:szCs w:val="28"/>
        </w:rPr>
        <w:t>создает разные токи </w:t>
      </w:r>
      <w:r w:rsidRPr="006E7360">
        <w:rPr>
          <w:i/>
          <w:iCs/>
          <w:color w:val="000000"/>
          <w:sz w:val="28"/>
          <w:szCs w:val="28"/>
        </w:rPr>
        <w:t>i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i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в прямой и обратной цепях. Из-за несимметрии этих цепей внешние наводки на них также разные.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варианте </w:t>
      </w:r>
      <w:r w:rsidRPr="006E7360">
        <w:rPr>
          <w:i/>
          <w:iCs/>
          <w:color w:val="000000"/>
          <w:sz w:val="28"/>
          <w:szCs w:val="28"/>
        </w:rPr>
        <w:t>в</w:t>
      </w:r>
      <w:r w:rsidRPr="006E7360">
        <w:rPr>
          <w:color w:val="000000"/>
          <w:sz w:val="28"/>
          <w:szCs w:val="28"/>
        </w:rPr>
        <w:t> заземление делается только с одной стороны. Благодаря этому токи </w:t>
      </w:r>
      <w:r w:rsidRPr="006E7360">
        <w:rPr>
          <w:i/>
          <w:iCs/>
          <w:color w:val="000000"/>
          <w:sz w:val="28"/>
          <w:szCs w:val="28"/>
        </w:rPr>
        <w:t>i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i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много меньше, так как они замыкаются через большое сопротивление утечки R</w:t>
      </w:r>
      <w:r w:rsidRPr="006E7360">
        <w:rPr>
          <w:color w:val="000000"/>
          <w:sz w:val="28"/>
          <w:szCs w:val="28"/>
          <w:vertAlign w:val="subscript"/>
        </w:rPr>
        <w:sym w:font="Symbol" w:char="F0A5"/>
      </w:r>
      <w:r w:rsidRPr="006E7360">
        <w:rPr>
          <w:color w:val="000000"/>
          <w:sz w:val="28"/>
          <w:szCs w:val="28"/>
        </w:rPr>
        <w:t> и помеха, созданная напряжением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АВ</w:t>
      </w:r>
      <w:r w:rsidRPr="006E7360">
        <w:rPr>
          <w:color w:val="000000"/>
          <w:sz w:val="28"/>
          <w:szCs w:val="28"/>
        </w:rPr>
        <w:t>, становится пренебрежимо малой. Однако сохраняется несимметрия прямой и обратной цепи по отношению к внешним помехам. Несимметрия меньше, если заземлить экран со стороны источника. Такое заземление называют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466"/>
      </w:tblGrid>
      <w:tr w:rsidR="000247A3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0247A3" w:rsidRPr="006E7360" w:rsidRDefault="000247A3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"http://textarchive.ru/images/1478/2955571/d8f6b0e0.gif"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Pr="006E7360">
              <w:rPr>
                <w:color w:val="000000"/>
                <w:sz w:val="28"/>
                <w:szCs w:val="28"/>
              </w:rPr>
              <w:pict>
                <v:shape id="_x0000_i1029" type="#_x0000_t75" style="width:333.5pt;height:103.5pt">
                  <v:imagedata r:id="rId13" r:href="rId14"/>
                </v:shape>
              </w:pict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«плавающий вольтметр» (приемник не заземлен). Для защиты входа приемника от наведенных на экране напряжений иногда подключают RC-цепочку с R = 10–100 Ом, показанную пунктиром. Ее сопротивление много </w:t>
      </w:r>
      <w:r w:rsidRPr="006E7360">
        <w:rPr>
          <w:color w:val="000000"/>
          <w:sz w:val="28"/>
          <w:szCs w:val="28"/>
        </w:rPr>
        <w:lastRenderedPageBreak/>
        <w:t>больше сопротивления экрана, поэтому потенциалы общих точек источника и приемника практически равны.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Двухпроводная линия </w:t>
      </w:r>
      <w:r w:rsidRPr="006E7360">
        <w:rPr>
          <w:i/>
          <w:iCs/>
          <w:color w:val="000000"/>
          <w:sz w:val="28"/>
          <w:szCs w:val="28"/>
        </w:rPr>
        <w:t>г</w:t>
      </w:r>
      <w:r w:rsidRPr="006E7360">
        <w:rPr>
          <w:color w:val="000000"/>
          <w:sz w:val="28"/>
          <w:szCs w:val="28"/>
        </w:rPr>
        <w:t> лучше защищена от помех: ток от напряжения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АВ </w:t>
      </w:r>
      <w:r w:rsidRPr="006E7360">
        <w:rPr>
          <w:color w:val="000000"/>
          <w:sz w:val="28"/>
          <w:szCs w:val="28"/>
        </w:rPr>
        <w:t>течет по экрану, а не по сигнальным проводам. Прямая и обратная цепи симметричны по отношению к внешним помехам.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Лучше всего вообще не заземлять сигнальные провода, если это допустимо по технике безопасности.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Гальваническая развязка</w:t>
      </w:r>
      <w:r w:rsidRPr="006E7360">
        <w:rPr>
          <w:color w:val="000000"/>
          <w:sz w:val="28"/>
          <w:szCs w:val="28"/>
        </w:rPr>
        <w:t> источника и приемника сигнала – это отсутствие между ними непосредственного электрического соединения. Гальваническая развязка необходима для защиты слаботочных цепей компьютера как по входу, так и по выходу от опасных по величине «нештатных» электрических сигналов, приходящих от объекта управления. Элементами гальванической развязки являются </w:t>
      </w:r>
      <w:r w:rsidRPr="006E7360">
        <w:rPr>
          <w:b/>
          <w:bCs/>
          <w:color w:val="000000"/>
          <w:sz w:val="28"/>
          <w:szCs w:val="28"/>
        </w:rPr>
        <w:t>оптроны, трансформаторы или конденсаторы.</w:t>
      </w:r>
      <w:r w:rsidRPr="006E7360">
        <w:rPr>
          <w:color w:val="000000"/>
          <w:sz w:val="28"/>
          <w:szCs w:val="28"/>
        </w:rPr>
        <w:t> Питание элементов, расположенных по разные стороны от элемента гальванической развязки, осуществляется от разных источников, не имеющих непосредственной связи. Первичные и вторичные обмотки трансформаторов гальванической развязки и трансформаторов питания разделяют экранами.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При использовании трансформаторов и конденсаторов в качестве элементов гальванической развязки цепей постоянного тока устанавливаются модуляторы и демодуляторы. В современных элементах трансформаторы гальванической развязки выполняют на кремниевой подложке методами полупроводниковых технологий, благодаря чему передают данные со скоростями до 100 Мбит/c.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Преимущество оптронной развязки в том, что она работает на постоянном и переменном токе, так что преобразование постоянного тока в переменный и обратно не требуется. Оптроны – это оптоэлектронные приборы с оптической связью между входной и выходной цепью. Оптроны делят на оптопары, оптоэлектронные микросхемы и специальные оптроны. Оптопары содержат светоизлучатель во входной цепи, обычно это светодиод, и фотоприемник в выходной цепи. Фотоприемником у оптопар различных типов являются чувствительные к свету диоды, транзисторы, тиристоры или резисторы. Оптоэлектронные микросхемы содержат, кроме одной или нескольких оптопар, микросхемы для согласования оптрона с другими элементами по входу и выходу, приведения сигналов к стандартному виду. В специальных оптронах оптическая цепь является управляемой: интенсивность светового потока зависит от какого-либо внешнего воздействия. Такие оптроны предназначены для использования в качестве датчиков различных физических величин.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Благодаря отсутствию электрической связи входной и выходной цепи, оптрон можно использовать для передачи сигналов между устройствами с большой разницей их электрических потенциалов. Типичные значения сопротивления гальванической развязки (сопротивления изоляции между входной и выходной цепями) – 5·10</w:t>
      </w:r>
      <w:r w:rsidRPr="006E7360">
        <w:rPr>
          <w:color w:val="000000"/>
          <w:sz w:val="28"/>
          <w:szCs w:val="28"/>
          <w:vertAlign w:val="superscript"/>
        </w:rPr>
        <w:t>10 </w:t>
      </w:r>
      <w:r w:rsidRPr="006E7360">
        <w:rPr>
          <w:color w:val="000000"/>
          <w:sz w:val="28"/>
          <w:szCs w:val="28"/>
        </w:rPr>
        <w:t xml:space="preserve">Ом, допустимого напряжения между входом и выходом – 3000–5000 В, а у высоковольтных оптопар – до 12000 В. </w:t>
      </w:r>
      <w:r w:rsidRPr="006E7360">
        <w:rPr>
          <w:color w:val="000000"/>
          <w:sz w:val="28"/>
          <w:szCs w:val="28"/>
        </w:rPr>
        <w:lastRenderedPageBreak/>
        <w:t>Отсутствие гальванической связи существенно снижает влияние помех, поступающих из сильноточной части системы в слаботочную по цепям питания и «земли».</w:t>
      </w:r>
    </w:p>
    <w:p w:rsidR="000247A3" w:rsidRPr="006E7360" w:rsidRDefault="000247A3" w:rsidP="000247A3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Основное применение оптронов – передача цифровых сигналов. Быстродействующие оптроны допускают передачу данных со скоростями до 10 Мбит/c. В схемах гальванической развязки цепей аналоговых сигналов применяют дифференциальные оптроны с двумя фотоприемниками. Один используется в выходной цепи, другой – в цепи отрицательной обратной связи между выходной и входной цепями. Характеристика оптронов недостаточно линейна для передачи аналоговых сигналов. Введение отрицательной обратной связи линеаризует характеристику.</w:t>
      </w:r>
    </w:p>
    <w:p w:rsidR="0096125D" w:rsidRDefault="0096125D">
      <w:bookmarkStart w:id="0" w:name="_GoBack"/>
      <w:bookmarkEnd w:id="0"/>
    </w:p>
    <w:sectPr w:rsidR="00961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ACF"/>
    <w:rsid w:val="000247A3"/>
    <w:rsid w:val="001B0ACF"/>
    <w:rsid w:val="0096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84DAD4-2C8B-4C69-94BA-AB48EF701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7A3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6">
    <w:name w:val="heading 6"/>
    <w:basedOn w:val="a"/>
    <w:link w:val="60"/>
    <w:qFormat/>
    <w:rsid w:val="000247A3"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0247A3"/>
    <w:rPr>
      <w:rFonts w:ascii="Times New Roman" w:eastAsia="Batang" w:hAnsi="Times New Roman" w:cs="Times New Roman"/>
      <w:b/>
      <w:bCs/>
      <w:sz w:val="15"/>
      <w:szCs w:val="15"/>
      <w:lang w:eastAsia="ko-KR"/>
    </w:rPr>
  </w:style>
  <w:style w:type="paragraph" w:styleId="a3">
    <w:basedOn w:val="a"/>
    <w:next w:val="a4"/>
    <w:rsid w:val="000247A3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024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image" Target="http://textarchive.ru/images/1478/2955571/c15d1440.gif" TargetMode="External"/><Relationship Id="rId12" Type="http://schemas.openxmlformats.org/officeDocument/2006/relationships/image" Target="http://textarchive.ru/images/1478/2955571/d8cb1bbb.gi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http://textarchive.ru/images/1478/2955571/20ec9730.gif" TargetMode="External"/><Relationship Id="rId15" Type="http://schemas.openxmlformats.org/officeDocument/2006/relationships/fontTable" Target="fontTable.xml"/><Relationship Id="rId10" Type="http://schemas.openxmlformats.org/officeDocument/2006/relationships/image" Target="http://textarchive.ru/images/1478/2955571/1db66170.gif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image" Target="http://textarchive.ru/images/1478/2955571/d8f6b0e0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2337</Words>
  <Characters>13325</Characters>
  <Application>Microsoft Office Word</Application>
  <DocSecurity>0</DocSecurity>
  <Lines>111</Lines>
  <Paragraphs>31</Paragraphs>
  <ScaleCrop>false</ScaleCrop>
  <Company>SPecialiST RePack</Company>
  <LinksUpToDate>false</LinksUpToDate>
  <CharactersWithSpaces>15631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2024-09-27T00:14:00Z</dcterms:created>
  <dcterms:modified xsi:type="dcterms:W3CDTF">2024-09-27T00:14:00Z</dcterms:modified>
</cp:coreProperties>
</file>