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5C438" w14:textId="77777777" w:rsidR="00841B82" w:rsidRPr="00B628A8" w:rsidRDefault="00841B82" w:rsidP="00841B82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Организация к</w:t>
      </w:r>
      <w:r w:rsidRPr="00B628A8">
        <w:rPr>
          <w:rFonts w:ascii="Times New Roman" w:hAnsi="Times New Roman"/>
          <w:b/>
          <w:sz w:val="28"/>
          <w:szCs w:val="28"/>
        </w:rPr>
        <w:t>онтейнерных перевозок</w:t>
      </w:r>
    </w:p>
    <w:p w14:paraId="2B3598D9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u w:val="single"/>
        </w:rPr>
      </w:pPr>
    </w:p>
    <w:p w14:paraId="42358417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 xml:space="preserve">Одним из резервов повышения производительности и снижения себестоимости является сокращение времени простоя а/м под погрузкой-разгрузкой. </w:t>
      </w:r>
    </w:p>
    <w:p w14:paraId="1A19363B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b/>
          <w:i/>
          <w:iCs/>
          <w:sz w:val="28"/>
          <w:szCs w:val="28"/>
        </w:rPr>
        <w:t>Контейнер</w:t>
      </w:r>
      <w:r w:rsidRPr="00B628A8">
        <w:rPr>
          <w:rFonts w:ascii="Times New Roman" w:hAnsi="Times New Roman"/>
          <w:sz w:val="28"/>
          <w:szCs w:val="28"/>
        </w:rPr>
        <w:t xml:space="preserve"> – транспортное оборудование (вместимостью не менее </w:t>
      </w:r>
      <w:smartTag w:uri="urn:schemas-microsoft-com:office:smarttags" w:element="metricconverter">
        <w:smartTagPr>
          <w:attr w:name="ProductID" w:val="1 м3"/>
        </w:smartTagPr>
        <w:r w:rsidRPr="00B628A8">
          <w:rPr>
            <w:rFonts w:ascii="Times New Roman" w:hAnsi="Times New Roman"/>
            <w:sz w:val="28"/>
            <w:szCs w:val="28"/>
          </w:rPr>
          <w:t xml:space="preserve">1 </w:t>
        </w:r>
        <w:r w:rsidRPr="00B628A8">
          <w:rPr>
            <w:rFonts w:ascii="Times New Roman" w:hAnsi="Times New Roman"/>
            <w:i/>
            <w:iCs/>
            <w:sz w:val="28"/>
            <w:szCs w:val="28"/>
          </w:rPr>
          <w:t>м</w:t>
        </w:r>
        <w:r w:rsidRPr="00B628A8">
          <w:rPr>
            <w:rFonts w:ascii="Times New Roman" w:hAnsi="Times New Roman"/>
            <w:i/>
            <w:iCs/>
            <w:sz w:val="28"/>
            <w:szCs w:val="28"/>
            <w:vertAlign w:val="superscript"/>
          </w:rPr>
          <w:t>3</w:t>
        </w:r>
      </w:smartTag>
      <w:r w:rsidRPr="00B628A8">
        <w:rPr>
          <w:rFonts w:ascii="Times New Roman" w:hAnsi="Times New Roman"/>
          <w:sz w:val="28"/>
          <w:szCs w:val="28"/>
        </w:rPr>
        <w:t>), предназначенное для многократного использования при бестарной перевозке грузов и приспособленное для механизированной погрузки и выгрузки (без выгрузки груза), а также для кратковременного хранения груза.</w:t>
      </w:r>
    </w:p>
    <w:p w14:paraId="54424109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Контейнеры классифицируются:</w:t>
      </w:r>
    </w:p>
    <w:p w14:paraId="0CC5DAAD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1. В зависимости от способа перевозки:</w:t>
      </w:r>
    </w:p>
    <w:p w14:paraId="1D62E19C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- транзитные (смешанное сообщение);</w:t>
      </w:r>
    </w:p>
    <w:p w14:paraId="7575F170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- местные (перевозка только АТ).</w:t>
      </w:r>
    </w:p>
    <w:p w14:paraId="48BC58BD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2. По назначению:</w:t>
      </w:r>
    </w:p>
    <w:p w14:paraId="7CA518A8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- универсальные (тарно-штучные грузы);</w:t>
      </w:r>
    </w:p>
    <w:p w14:paraId="64AFE89A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- специальные (наливные, строительные).</w:t>
      </w:r>
    </w:p>
    <w:p w14:paraId="4B7B5AA6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3. В зависимости от материала изготовления:</w:t>
      </w:r>
    </w:p>
    <w:p w14:paraId="56517210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- деревянные;</w:t>
      </w:r>
    </w:p>
    <w:p w14:paraId="0D91AEE6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- металлические;</w:t>
      </w:r>
    </w:p>
    <w:p w14:paraId="28EF744A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- деревянно-металлические;</w:t>
      </w:r>
    </w:p>
    <w:p w14:paraId="054D0058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- из пластмассы или резины – эластичные (в сложенном виде занимают 1/10 части объема загруженной емкости).</w:t>
      </w:r>
    </w:p>
    <w:p w14:paraId="7612F20D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4. По конструкции:</w:t>
      </w:r>
    </w:p>
    <w:p w14:paraId="4FDCE4DE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- сборно-разборные;</w:t>
      </w:r>
    </w:p>
    <w:p w14:paraId="6844F422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- неразборные.</w:t>
      </w:r>
    </w:p>
    <w:p w14:paraId="3856B43D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5. По грузоподъемности:</w:t>
      </w:r>
    </w:p>
    <w:p w14:paraId="714D539C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- малотоннажные (0,625-1,25 т);</w:t>
      </w:r>
    </w:p>
    <w:p w14:paraId="3E8D8481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- среднетоннажные (2,5-5 т);</w:t>
      </w:r>
    </w:p>
    <w:p w14:paraId="56211404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- крупнотоннажные (10-30 т).</w:t>
      </w:r>
    </w:p>
    <w:p w14:paraId="4E09BE69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Масса одного грузового места не должна превышать:</w:t>
      </w:r>
    </w:p>
    <w:p w14:paraId="66DA9DA1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 xml:space="preserve">- для малотоннажных </w:t>
      </w:r>
      <w:smartTag w:uri="urn:schemas-microsoft-com:office:smarttags" w:element="metricconverter">
        <w:smartTagPr>
          <w:attr w:name="ProductID" w:val="80 кг"/>
        </w:smartTagPr>
        <w:r w:rsidRPr="00B628A8">
          <w:rPr>
            <w:rFonts w:ascii="Times New Roman" w:hAnsi="Times New Roman"/>
            <w:sz w:val="28"/>
            <w:szCs w:val="28"/>
          </w:rPr>
          <w:t>80 кг</w:t>
        </w:r>
      </w:smartTag>
      <w:r w:rsidRPr="00B628A8">
        <w:rPr>
          <w:rFonts w:ascii="Times New Roman" w:hAnsi="Times New Roman"/>
          <w:sz w:val="28"/>
          <w:szCs w:val="28"/>
        </w:rPr>
        <w:t>;</w:t>
      </w:r>
    </w:p>
    <w:p w14:paraId="6BDE215F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 xml:space="preserve">- для средне тоннажных </w:t>
      </w:r>
      <w:smartTag w:uri="urn:schemas-microsoft-com:office:smarttags" w:element="metricconverter">
        <w:smartTagPr>
          <w:attr w:name="ProductID" w:val="120 кг"/>
        </w:smartTagPr>
        <w:r w:rsidRPr="00B628A8">
          <w:rPr>
            <w:rFonts w:ascii="Times New Roman" w:hAnsi="Times New Roman"/>
            <w:sz w:val="28"/>
            <w:szCs w:val="28"/>
          </w:rPr>
          <w:t>120 кг</w:t>
        </w:r>
      </w:smartTag>
      <w:r w:rsidRPr="00B628A8">
        <w:rPr>
          <w:rFonts w:ascii="Times New Roman" w:hAnsi="Times New Roman"/>
          <w:sz w:val="28"/>
          <w:szCs w:val="28"/>
        </w:rPr>
        <w:t>;</w:t>
      </w:r>
    </w:p>
    <w:p w14:paraId="43B32B54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 xml:space="preserve">- для крупнотоннажных </w:t>
      </w:r>
      <w:smartTag w:uri="urn:schemas-microsoft-com:office:smarttags" w:element="metricconverter">
        <w:smartTagPr>
          <w:attr w:name="ProductID" w:val="300 кг"/>
        </w:smartTagPr>
        <w:r w:rsidRPr="00B628A8">
          <w:rPr>
            <w:rFonts w:ascii="Times New Roman" w:hAnsi="Times New Roman"/>
            <w:sz w:val="28"/>
            <w:szCs w:val="28"/>
          </w:rPr>
          <w:t>300 кг</w:t>
        </w:r>
      </w:smartTag>
      <w:r w:rsidRPr="00B628A8">
        <w:rPr>
          <w:rFonts w:ascii="Times New Roman" w:hAnsi="Times New Roman"/>
          <w:sz w:val="28"/>
          <w:szCs w:val="28"/>
        </w:rPr>
        <w:t>.</w:t>
      </w:r>
    </w:p>
    <w:p w14:paraId="4B920C0F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Потребное количество контейнеров определяется после определения объема перевозок грузов на предстоящий период, выбора типа ПС, после выбора типа контейнера и его грузоподъемности, после определения времени оборота контейнера.</w:t>
      </w:r>
    </w:p>
    <w:p w14:paraId="3CE56D6C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Время оборота контейнера состоит из:</w:t>
      </w:r>
    </w:p>
    <w:p w14:paraId="48A39722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- времени нахождения загруженного контейнера у отправителя;</w:t>
      </w:r>
    </w:p>
    <w:p w14:paraId="46E9D775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- времени перевозки контейнера;</w:t>
      </w:r>
    </w:p>
    <w:p w14:paraId="13FB70C2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- времени погрузки-разгрузки контейнера;</w:t>
      </w:r>
    </w:p>
    <w:p w14:paraId="3021805E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- времени нахождения контейнера у получателя;</w:t>
      </w:r>
    </w:p>
    <w:p w14:paraId="10467157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- времени на возврат порожнего контейнера;</w:t>
      </w:r>
    </w:p>
    <w:p w14:paraId="7976CC40" w14:textId="77777777" w:rsidR="00841B82" w:rsidRPr="00B628A8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- времени ожидания загрузки контейнера у отправителя.</w:t>
      </w:r>
    </w:p>
    <w:p w14:paraId="5D86B58C" w14:textId="61FD1D17" w:rsidR="00841B82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lastRenderedPageBreak/>
        <w:t>Число контейнеров необходимых для освоения конкретного грузопотока может быть рассчитано по следующей формуле:</w:t>
      </w:r>
    </w:p>
    <w:p w14:paraId="13EFB745" w14:textId="54F71D9A" w:rsidR="00841B82" w:rsidRDefault="004626D8" w:rsidP="004626D8">
      <w:pPr>
        <w:spacing w:after="0" w:line="240" w:lineRule="auto"/>
        <w:ind w:firstLine="567"/>
        <w:jc w:val="center"/>
        <w:rPr>
          <w:rFonts w:ascii="Times New Roman" w:hAnsi="Times New Roman"/>
          <w:sz w:val="32"/>
          <w:szCs w:val="32"/>
        </w:rPr>
      </w:pPr>
      <w:bookmarkStart w:id="0" w:name="_Hlk93597746"/>
      <w:r>
        <w:rPr>
          <w:rFonts w:ascii="Times New Roman" w:hAnsi="Times New Roman"/>
          <w:noProof/>
          <w:position w:val="-30"/>
          <w:sz w:val="28"/>
          <w:szCs w:val="28"/>
        </w:rPr>
        <w:drawing>
          <wp:inline distT="0" distB="0" distL="0" distR="0" wp14:anchorId="515F2475" wp14:editId="5462A4C2">
            <wp:extent cx="1161344" cy="564204"/>
            <wp:effectExtent l="0" t="0" r="127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499" cy="5720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  <w:r w:rsidR="00841B82" w:rsidRPr="00240983">
        <w:rPr>
          <w:rFonts w:ascii="Times New Roman" w:hAnsi="Times New Roman"/>
          <w:sz w:val="32"/>
          <w:szCs w:val="32"/>
        </w:rPr>
        <w:t xml:space="preserve">         </w:t>
      </w:r>
    </w:p>
    <w:p w14:paraId="23EDC913" w14:textId="4DD1D7BC" w:rsidR="00CA747A" w:rsidRPr="00CA747A" w:rsidRDefault="00CA747A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Q</w:t>
      </w:r>
      <w:proofErr w:type="spellStart"/>
      <w:r>
        <w:rPr>
          <w:rFonts w:ascii="Times New Roman" w:hAnsi="Times New Roman"/>
          <w:sz w:val="28"/>
          <w:szCs w:val="28"/>
          <w:vertAlign w:val="subscript"/>
        </w:rPr>
        <w:t>сут</w:t>
      </w:r>
      <w:proofErr w:type="spellEnd"/>
      <w:r>
        <w:rPr>
          <w:rFonts w:ascii="Times New Roman" w:hAnsi="Times New Roman"/>
          <w:sz w:val="28"/>
          <w:szCs w:val="28"/>
        </w:rPr>
        <w:t xml:space="preserve"> -суточный объём перевозок, тонн.</w:t>
      </w:r>
    </w:p>
    <w:p w14:paraId="789E2809" w14:textId="4C437029" w:rsidR="00CA747A" w:rsidRPr="00CA747A" w:rsidRDefault="00CA747A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  <w:vertAlign w:val="subscript"/>
        </w:rPr>
        <w:t>об</w:t>
      </w:r>
      <w:r>
        <w:rPr>
          <w:rFonts w:ascii="Times New Roman" w:hAnsi="Times New Roman"/>
          <w:sz w:val="28"/>
          <w:szCs w:val="28"/>
        </w:rPr>
        <w:t xml:space="preserve"> – время оборота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контейнера,сут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>.</w:t>
      </w:r>
    </w:p>
    <w:p w14:paraId="093C8C70" w14:textId="7447914D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0655">
        <w:rPr>
          <w:rFonts w:ascii="Times New Roman" w:hAnsi="Times New Roman"/>
          <w:sz w:val="28"/>
          <w:szCs w:val="28"/>
        </w:rPr>
        <w:t>При автоперевозках (перевозки в местном сообщении) число используемых может быть определено из равенства интервала движения а/м и ритма производства погрузки контейнеров:</w:t>
      </w:r>
    </w:p>
    <w:p w14:paraId="72E45B02" w14:textId="77777777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4094F">
        <w:rPr>
          <w:rFonts w:ascii="Times New Roman" w:hAnsi="Times New Roman"/>
          <w:position w:val="-176"/>
          <w:sz w:val="32"/>
          <w:szCs w:val="32"/>
        </w:rPr>
        <w:object w:dxaOrig="7760" w:dyaOrig="3660" w14:anchorId="775B6BE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1pt;height:122.5pt" o:ole="">
            <v:imagedata r:id="rId7" o:title=""/>
          </v:shape>
          <o:OLEObject Type="Embed" ProgID="Equation.3" ShapeID="_x0000_i1025" DrawAspect="Content" ObjectID="_1704539587" r:id="rId8"/>
        </w:object>
      </w:r>
      <w:r w:rsidRPr="00BF0655">
        <w:rPr>
          <w:rFonts w:ascii="Times New Roman" w:hAnsi="Times New Roman"/>
          <w:sz w:val="28"/>
          <w:szCs w:val="28"/>
        </w:rPr>
        <w:t>ритм подачи контейнера</w:t>
      </w:r>
    </w:p>
    <w:p w14:paraId="7B6C4ABA" w14:textId="13322033" w:rsidR="00CA747A" w:rsidRPr="00CA747A" w:rsidRDefault="00CA747A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A747A">
        <w:rPr>
          <w:rFonts w:ascii="Times New Roman" w:hAnsi="Times New Roman"/>
          <w:sz w:val="28"/>
          <w:szCs w:val="28"/>
          <w:lang w:val="en-US"/>
        </w:rPr>
        <w:t>n</w:t>
      </w:r>
      <w:r w:rsidRPr="00CA747A">
        <w:rPr>
          <w:rFonts w:ascii="Times New Roman" w:hAnsi="Times New Roman"/>
          <w:sz w:val="28"/>
          <w:szCs w:val="28"/>
          <w:vertAlign w:val="subscript"/>
          <w:lang w:val="en-US"/>
        </w:rPr>
        <w:t>k</w:t>
      </w:r>
      <w:proofErr w:type="spellEnd"/>
      <w:r w:rsidRPr="00CA747A">
        <w:rPr>
          <w:rFonts w:ascii="Times New Roman" w:hAnsi="Times New Roman"/>
          <w:sz w:val="28"/>
          <w:szCs w:val="28"/>
        </w:rPr>
        <w:t xml:space="preserve"> – количество контейнеров, загружаемых в автомобиль, шт.</w:t>
      </w:r>
    </w:p>
    <w:p w14:paraId="1A2A61AA" w14:textId="77777777" w:rsidR="00CA747A" w:rsidRPr="00CA747A" w:rsidRDefault="00CA747A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u w:val="single"/>
        </w:rPr>
      </w:pPr>
    </w:p>
    <w:p w14:paraId="3D845004" w14:textId="047BBDBB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u w:val="single"/>
        </w:rPr>
      </w:pPr>
      <w:r w:rsidRPr="00BF0655">
        <w:rPr>
          <w:rFonts w:ascii="Times New Roman" w:hAnsi="Times New Roman"/>
          <w:sz w:val="28"/>
          <w:szCs w:val="28"/>
          <w:u w:val="single"/>
        </w:rPr>
        <w:t>Схемы доставки контейнеров</w:t>
      </w:r>
    </w:p>
    <w:p w14:paraId="17FE7FB3" w14:textId="77777777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0655">
        <w:rPr>
          <w:rFonts w:ascii="Times New Roman" w:hAnsi="Times New Roman"/>
          <w:sz w:val="28"/>
          <w:szCs w:val="28"/>
        </w:rPr>
        <w:t>Движение а/м при доставке универсальных транзитных контейнеров может быть организованно по следующим схемам:</w:t>
      </w:r>
    </w:p>
    <w:p w14:paraId="1975AC21" w14:textId="77777777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0655">
        <w:rPr>
          <w:rFonts w:ascii="Times New Roman" w:hAnsi="Times New Roman"/>
          <w:sz w:val="28"/>
          <w:szCs w:val="28"/>
        </w:rPr>
        <w:t>1. Маятниковый маршрут со снятием контейнера с а/м в пункте назначения.</w:t>
      </w:r>
    </w:p>
    <w:p w14:paraId="52592702" w14:textId="77777777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0655">
        <w:rPr>
          <w:rFonts w:ascii="Times New Roman" w:hAnsi="Times New Roman"/>
          <w:sz w:val="28"/>
          <w:szCs w:val="28"/>
        </w:rPr>
        <w:t>2. Маятниковый маршрут с обменом контейнера на груженый контейнер.</w:t>
      </w:r>
    </w:p>
    <w:p w14:paraId="413A5A55" w14:textId="77777777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0655">
        <w:rPr>
          <w:rFonts w:ascii="Times New Roman" w:hAnsi="Times New Roman"/>
          <w:sz w:val="28"/>
          <w:szCs w:val="28"/>
        </w:rPr>
        <w:t>3. Маятниковый маршрут с обменом груженого контейнера на порожний.</w:t>
      </w:r>
    </w:p>
    <w:p w14:paraId="76A84A37" w14:textId="77777777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0655">
        <w:rPr>
          <w:rFonts w:ascii="Times New Roman" w:hAnsi="Times New Roman"/>
          <w:sz w:val="28"/>
          <w:szCs w:val="28"/>
        </w:rPr>
        <w:t>4. Маятниковый маршрут с загрузкой или выгрузкой контейнера без снятия его с а/м (самый неэффективный способ).</w:t>
      </w:r>
    </w:p>
    <w:p w14:paraId="313409EE" w14:textId="77777777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0655">
        <w:rPr>
          <w:rFonts w:ascii="Times New Roman" w:hAnsi="Times New Roman"/>
          <w:sz w:val="28"/>
          <w:szCs w:val="28"/>
        </w:rPr>
        <w:t>5. Треугольная схема – кольцевой маршрут с двукратным обменом контейнера.</w:t>
      </w:r>
    </w:p>
    <w:p w14:paraId="346DC34F" w14:textId="77777777" w:rsidR="00841B82" w:rsidRPr="00367003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i/>
        </w:rPr>
      </w:pPr>
      <w:r w:rsidRPr="00BF0655">
        <w:rPr>
          <w:rFonts w:ascii="Times New Roman" w:hAnsi="Times New Roman"/>
          <w:i/>
          <w:sz w:val="28"/>
          <w:szCs w:val="28"/>
        </w:rPr>
        <w:t xml:space="preserve">                                        </w:t>
      </w:r>
      <w:r w:rsidRPr="00367003">
        <w:rPr>
          <w:rFonts w:ascii="Times New Roman" w:hAnsi="Times New Roman"/>
          <w:i/>
        </w:rPr>
        <w:t>ж/д станция</w:t>
      </w:r>
    </w:p>
    <w:p w14:paraId="71EA6AFD" w14:textId="20E50A0F" w:rsidR="00841B82" w:rsidRPr="00240983" w:rsidRDefault="00841B82" w:rsidP="00367003">
      <w:pPr>
        <w:spacing w:after="0" w:line="240" w:lineRule="auto"/>
        <w:ind w:firstLine="1843"/>
        <w:jc w:val="both"/>
        <w:rPr>
          <w:rFonts w:ascii="Times New Roman" w:hAnsi="Times New Roman"/>
          <w:sz w:val="32"/>
          <w:szCs w:val="32"/>
        </w:rPr>
      </w:pPr>
      <w:r w:rsidRPr="00BB5E28">
        <w:rPr>
          <w:rFonts w:ascii="Times New Roman" w:hAnsi="Times New Roman"/>
          <w:noProof/>
          <w:sz w:val="32"/>
          <w:szCs w:val="32"/>
          <w:lang w:eastAsia="ru-RU"/>
        </w:rPr>
        <w:drawing>
          <wp:inline distT="0" distB="0" distL="0" distR="0" wp14:anchorId="09489E1F" wp14:editId="1499E3CD">
            <wp:extent cx="2785042" cy="582295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2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6929" cy="632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3441F6" w14:textId="72C081CF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40983">
        <w:rPr>
          <w:rFonts w:ascii="Times New Roman" w:hAnsi="Times New Roman"/>
          <w:sz w:val="32"/>
          <w:szCs w:val="32"/>
        </w:rPr>
        <w:t xml:space="preserve"> </w:t>
      </w:r>
      <w:r w:rsidRPr="00BF0655">
        <w:rPr>
          <w:rFonts w:ascii="Times New Roman" w:hAnsi="Times New Roman"/>
          <w:sz w:val="28"/>
          <w:szCs w:val="28"/>
        </w:rPr>
        <w:t>Доставка контейнера по схемам 2, 3, 5 возможна только в том случае, если у получателей и отправителей есть обменный парк контейнеров. Выбор той или иной схемы зависит от конкретных условий.</w:t>
      </w:r>
    </w:p>
    <w:p w14:paraId="0FD333EA" w14:textId="77777777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u w:val="single"/>
        </w:rPr>
      </w:pPr>
      <w:r w:rsidRPr="00BF0655">
        <w:rPr>
          <w:rFonts w:ascii="Times New Roman" w:hAnsi="Times New Roman"/>
          <w:sz w:val="28"/>
          <w:szCs w:val="28"/>
          <w:u w:val="single"/>
        </w:rPr>
        <w:t>Преимущества контейнерных перевозок:</w:t>
      </w:r>
    </w:p>
    <w:p w14:paraId="347B5EAB" w14:textId="578D2D63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0655">
        <w:rPr>
          <w:rFonts w:ascii="Times New Roman" w:hAnsi="Times New Roman"/>
          <w:sz w:val="28"/>
          <w:szCs w:val="28"/>
        </w:rPr>
        <w:t>1. Сокращение времени простоя под погрузкой – разгрузкой;</w:t>
      </w:r>
    </w:p>
    <w:p w14:paraId="7BEB849C" w14:textId="77777777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0655">
        <w:rPr>
          <w:rFonts w:ascii="Times New Roman" w:hAnsi="Times New Roman"/>
          <w:sz w:val="28"/>
          <w:szCs w:val="28"/>
        </w:rPr>
        <w:t>2. Увеличение сохранности грузов;</w:t>
      </w:r>
    </w:p>
    <w:p w14:paraId="154B413F" w14:textId="77777777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0655">
        <w:rPr>
          <w:rFonts w:ascii="Times New Roman" w:hAnsi="Times New Roman"/>
          <w:sz w:val="28"/>
          <w:szCs w:val="28"/>
        </w:rPr>
        <w:t>3. Сокращение потребности в крытых складах;</w:t>
      </w:r>
    </w:p>
    <w:p w14:paraId="0312C902" w14:textId="77777777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0655">
        <w:rPr>
          <w:rFonts w:ascii="Times New Roman" w:hAnsi="Times New Roman"/>
          <w:sz w:val="28"/>
          <w:szCs w:val="28"/>
        </w:rPr>
        <w:t>4. Сокращение затрат на тару.</w:t>
      </w:r>
    </w:p>
    <w:p w14:paraId="02B61145" w14:textId="77777777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u w:val="single"/>
        </w:rPr>
      </w:pPr>
      <w:r w:rsidRPr="00BF0655">
        <w:rPr>
          <w:rFonts w:ascii="Times New Roman" w:hAnsi="Times New Roman"/>
          <w:sz w:val="28"/>
          <w:szCs w:val="28"/>
          <w:u w:val="single"/>
        </w:rPr>
        <w:t>Недостатки:</w:t>
      </w:r>
    </w:p>
    <w:p w14:paraId="1DC138BF" w14:textId="77777777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0655">
        <w:rPr>
          <w:rFonts w:ascii="Times New Roman" w:hAnsi="Times New Roman"/>
          <w:sz w:val="28"/>
          <w:szCs w:val="28"/>
        </w:rPr>
        <w:lastRenderedPageBreak/>
        <w:t>1. Сокращение грузоподъемности а/м за счет собственного веса контейнера.</w:t>
      </w:r>
    </w:p>
    <w:p w14:paraId="18AAB61A" w14:textId="77777777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0655">
        <w:rPr>
          <w:rFonts w:ascii="Times New Roman" w:hAnsi="Times New Roman"/>
          <w:sz w:val="28"/>
          <w:szCs w:val="28"/>
        </w:rPr>
        <w:t>Одним из показателей, с помощью которого оцениваются конструктивно-эксплуатационные качества контейнеров, является коэффициент тары, который определяется как отношение собственной массы контейнера к его грузоподъемности:</w:t>
      </w:r>
    </w:p>
    <w:p w14:paraId="6818B08D" w14:textId="1DC03E69" w:rsidR="00841B82" w:rsidRPr="00240983" w:rsidRDefault="00BD49EE" w:rsidP="00F858BA">
      <w:pPr>
        <w:spacing w:after="0" w:line="240" w:lineRule="auto"/>
        <w:ind w:firstLine="567"/>
        <w:jc w:val="center"/>
        <w:rPr>
          <w:rFonts w:ascii="Times New Roman" w:hAnsi="Times New Roman"/>
          <w:sz w:val="32"/>
          <w:szCs w:val="32"/>
        </w:rPr>
      </w:pPr>
      <w:r w:rsidRPr="00367003">
        <w:rPr>
          <w:rFonts w:ascii="Times New Roman" w:hAnsi="Times New Roman"/>
          <w:noProof/>
          <w:position w:val="-30"/>
          <w:sz w:val="24"/>
          <w:szCs w:val="24"/>
        </w:rPr>
        <w:drawing>
          <wp:inline distT="0" distB="0" distL="0" distR="0" wp14:anchorId="059CD6DC" wp14:editId="2286859B">
            <wp:extent cx="658800" cy="554400"/>
            <wp:effectExtent l="0" t="0" r="825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00" cy="55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39F867" w14:textId="77777777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0655">
        <w:rPr>
          <w:rFonts w:ascii="Times New Roman" w:hAnsi="Times New Roman"/>
          <w:sz w:val="28"/>
          <w:szCs w:val="28"/>
        </w:rPr>
        <w:t>Для среднетоннажных: 0,28 – 0,35</w:t>
      </w:r>
    </w:p>
    <w:p w14:paraId="48FB3F77" w14:textId="77777777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0655">
        <w:rPr>
          <w:rFonts w:ascii="Times New Roman" w:hAnsi="Times New Roman"/>
          <w:sz w:val="28"/>
          <w:szCs w:val="28"/>
        </w:rPr>
        <w:t>Для крупнотоннажных: 0,12 – 0,15</w:t>
      </w:r>
    </w:p>
    <w:p w14:paraId="69BE8CF9" w14:textId="77777777" w:rsidR="00841B82" w:rsidRPr="00BF0655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0655">
        <w:rPr>
          <w:rFonts w:ascii="Times New Roman" w:hAnsi="Times New Roman"/>
          <w:sz w:val="28"/>
          <w:szCs w:val="28"/>
        </w:rPr>
        <w:t>Для эластичных: 0,01 – 0,02</w:t>
      </w:r>
    </w:p>
    <w:p w14:paraId="2E2CE2C3" w14:textId="7AC1CD25" w:rsidR="00367003" w:rsidRDefault="00367003" w:rsidP="00367003">
      <w:pPr>
        <w:spacing w:after="0" w:line="240" w:lineRule="auto"/>
        <w:ind w:firstLine="28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2F1812AE" wp14:editId="37833508">
            <wp:extent cx="5497200" cy="1789200"/>
            <wp:effectExtent l="0" t="0" r="8255" b="190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200" cy="178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635ABE" w14:textId="77777777" w:rsidR="00367003" w:rsidRPr="00367003" w:rsidRDefault="00367003" w:rsidP="00425807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</w:rPr>
      </w:pPr>
      <w:r w:rsidRPr="00367003">
        <w:rPr>
          <w:rFonts w:ascii="Times New Roman" w:hAnsi="Times New Roman"/>
          <w:sz w:val="24"/>
          <w:szCs w:val="24"/>
        </w:rPr>
        <w:t>Рис. 1. Универсальный контейнер:</w:t>
      </w:r>
    </w:p>
    <w:p w14:paraId="4B9D0337" w14:textId="77777777" w:rsidR="00367003" w:rsidRPr="00367003" w:rsidRDefault="00367003" w:rsidP="00425807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</w:rPr>
      </w:pPr>
      <w:r w:rsidRPr="00367003">
        <w:rPr>
          <w:rFonts w:ascii="Times New Roman" w:hAnsi="Times New Roman"/>
          <w:sz w:val="24"/>
          <w:szCs w:val="24"/>
        </w:rPr>
        <w:t>а – 20-футовый (длина 6 м); б – 40-футовый (длина 12 м)</w:t>
      </w:r>
    </w:p>
    <w:p w14:paraId="1834A926" w14:textId="2E94A715" w:rsidR="00367003" w:rsidRDefault="00367003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27AF5382" wp14:editId="35356AF1">
            <wp:extent cx="5688000" cy="3999600"/>
            <wp:effectExtent l="0" t="0" r="8255" b="127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000" cy="399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402B86" w14:textId="77777777" w:rsidR="00367003" w:rsidRDefault="00367003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14:paraId="583C6646" w14:textId="77777777" w:rsidR="00367003" w:rsidRPr="00367003" w:rsidRDefault="00367003" w:rsidP="00367003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</w:rPr>
      </w:pPr>
      <w:r w:rsidRPr="00367003">
        <w:rPr>
          <w:rFonts w:ascii="Times New Roman" w:hAnsi="Times New Roman"/>
          <w:sz w:val="24"/>
          <w:szCs w:val="24"/>
        </w:rPr>
        <w:t>Рис. 2. Конструкция и маркировка контейнера</w:t>
      </w:r>
    </w:p>
    <w:p w14:paraId="058CC445" w14:textId="77777777" w:rsidR="00367003" w:rsidRDefault="00367003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14:paraId="633BC066" w14:textId="7A8EF244" w:rsidR="00367003" w:rsidRDefault="00425807" w:rsidP="004258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4A3ADCD9" wp14:editId="57A54683">
            <wp:extent cx="5937885" cy="7596505"/>
            <wp:effectExtent l="0" t="0" r="5715" b="444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7596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568EC4" w14:textId="77777777" w:rsidR="00367003" w:rsidRDefault="00367003" w:rsidP="00841B8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14:paraId="6364D380" w14:textId="003ED16D" w:rsidR="00425807" w:rsidRPr="00425807" w:rsidRDefault="00425807" w:rsidP="004258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25807">
        <w:rPr>
          <w:rFonts w:ascii="Times New Roman" w:hAnsi="Times New Roman"/>
          <w:sz w:val="28"/>
          <w:szCs w:val="28"/>
        </w:rPr>
        <w:t>УУК – универсальный унифицированный контейнер. Унифицированный предназначен для перевозки на различных видах т</w:t>
      </w:r>
      <w:r>
        <w:rPr>
          <w:rFonts w:ascii="Times New Roman" w:hAnsi="Times New Roman"/>
          <w:sz w:val="28"/>
          <w:szCs w:val="28"/>
        </w:rPr>
        <w:t>ранспорта.</w:t>
      </w:r>
    </w:p>
    <w:p w14:paraId="2E12BB2E" w14:textId="77777777" w:rsidR="00425807" w:rsidRPr="00425807" w:rsidRDefault="00425807" w:rsidP="004258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25807">
        <w:rPr>
          <w:rFonts w:ascii="Times New Roman" w:hAnsi="Times New Roman"/>
          <w:sz w:val="28"/>
          <w:szCs w:val="28"/>
        </w:rPr>
        <w:t>УУК-5У – усиленная конструкция.</w:t>
      </w:r>
    </w:p>
    <w:p w14:paraId="1FA399D9" w14:textId="77777777" w:rsidR="00425807" w:rsidRPr="00425807" w:rsidRDefault="00425807" w:rsidP="004258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25807">
        <w:rPr>
          <w:rFonts w:ascii="Times New Roman" w:hAnsi="Times New Roman"/>
          <w:sz w:val="28"/>
          <w:szCs w:val="28"/>
        </w:rPr>
        <w:t>АУК – автомобильный универсальный контейнер.</w:t>
      </w:r>
    </w:p>
    <w:p w14:paraId="3340484D" w14:textId="77777777" w:rsidR="00AD732F" w:rsidRPr="00AD732F" w:rsidRDefault="00AD732F" w:rsidP="00AD732F">
      <w:pPr>
        <w:spacing w:after="0" w:line="240" w:lineRule="auto"/>
        <w:ind w:left="-142" w:firstLine="426"/>
        <w:jc w:val="both"/>
        <w:rPr>
          <w:rFonts w:ascii="Times New Roman" w:hAnsi="Times New Roman"/>
          <w:sz w:val="28"/>
          <w:szCs w:val="28"/>
        </w:rPr>
      </w:pPr>
      <w:r w:rsidRPr="00AD732F">
        <w:rPr>
          <w:rFonts w:ascii="Times New Roman" w:hAnsi="Times New Roman"/>
          <w:b/>
          <w:bCs/>
          <w:i/>
          <w:iCs/>
          <w:sz w:val="28"/>
          <w:szCs w:val="28"/>
        </w:rPr>
        <w:lastRenderedPageBreak/>
        <w:t xml:space="preserve">Унификация </w:t>
      </w:r>
      <w:r w:rsidRPr="00AD732F">
        <w:rPr>
          <w:rFonts w:ascii="Times New Roman" w:hAnsi="Times New Roman"/>
          <w:sz w:val="28"/>
          <w:szCs w:val="28"/>
        </w:rPr>
        <w:t>— это распространённый и эффективный метод устранения излишнего многообразия посредством сокращения перечня допустимых элементов и решений, приведения их к однотипности.</w:t>
      </w:r>
    </w:p>
    <w:p w14:paraId="49FD860E" w14:textId="2B79E0F7" w:rsidR="00AD732F" w:rsidRPr="00AD732F" w:rsidRDefault="00AD732F" w:rsidP="00AD732F">
      <w:pPr>
        <w:spacing w:after="0" w:line="240" w:lineRule="auto"/>
        <w:ind w:left="-142" w:firstLine="426"/>
        <w:jc w:val="both"/>
        <w:rPr>
          <w:rFonts w:ascii="Times New Roman" w:hAnsi="Times New Roman"/>
          <w:sz w:val="28"/>
          <w:szCs w:val="28"/>
        </w:rPr>
      </w:pPr>
      <w:r w:rsidRPr="00AD732F">
        <w:rPr>
          <w:rFonts w:ascii="Times New Roman" w:hAnsi="Times New Roman"/>
          <w:sz w:val="28"/>
          <w:szCs w:val="28"/>
        </w:rPr>
        <w:t xml:space="preserve">Стандартными считаются международные контейнеры (ISO) высотой 8 футов 6 дюймов (8'6'', что соответствует 2,59 м), имеющие обозначения </w:t>
      </w:r>
      <w:r w:rsidRPr="00AD732F">
        <w:rPr>
          <w:rFonts w:ascii="Times New Roman" w:hAnsi="Times New Roman"/>
          <w:sz w:val="28"/>
          <w:szCs w:val="28"/>
          <w:lang w:val="en-US"/>
        </w:rPr>
        <w:t>GP</w:t>
      </w:r>
      <w:r w:rsidRPr="00AD732F">
        <w:rPr>
          <w:rFonts w:ascii="Times New Roman" w:hAnsi="Times New Roman"/>
          <w:sz w:val="28"/>
          <w:szCs w:val="28"/>
        </w:rPr>
        <w:t xml:space="preserve"> "</w:t>
      </w:r>
      <w:r w:rsidRPr="00AD732F">
        <w:rPr>
          <w:rFonts w:ascii="Times New Roman" w:hAnsi="Times New Roman"/>
          <w:sz w:val="28"/>
          <w:szCs w:val="28"/>
          <w:lang w:val="en-US"/>
        </w:rPr>
        <w:t>General</w:t>
      </w:r>
      <w:r w:rsidRPr="00AD732F">
        <w:rPr>
          <w:rFonts w:ascii="Times New Roman" w:hAnsi="Times New Roman"/>
          <w:sz w:val="28"/>
          <w:szCs w:val="28"/>
        </w:rPr>
        <w:t xml:space="preserve"> </w:t>
      </w:r>
      <w:r w:rsidRPr="00AD732F">
        <w:rPr>
          <w:rFonts w:ascii="Times New Roman" w:hAnsi="Times New Roman"/>
          <w:sz w:val="28"/>
          <w:szCs w:val="28"/>
          <w:lang w:val="en-US"/>
        </w:rPr>
        <w:t>Purpose</w:t>
      </w:r>
      <w:r w:rsidRPr="00AD732F">
        <w:rPr>
          <w:rFonts w:ascii="Times New Roman" w:hAnsi="Times New Roman"/>
          <w:sz w:val="28"/>
          <w:szCs w:val="28"/>
        </w:rPr>
        <w:t xml:space="preserve">", </w:t>
      </w:r>
      <w:r w:rsidRPr="00AD732F">
        <w:rPr>
          <w:rFonts w:ascii="Times New Roman" w:hAnsi="Times New Roman"/>
          <w:sz w:val="28"/>
          <w:szCs w:val="28"/>
          <w:lang w:val="en-US"/>
        </w:rPr>
        <w:t>DV</w:t>
      </w:r>
      <w:r w:rsidRPr="00AD732F">
        <w:rPr>
          <w:rFonts w:ascii="Times New Roman" w:hAnsi="Times New Roman"/>
          <w:sz w:val="28"/>
          <w:szCs w:val="28"/>
        </w:rPr>
        <w:t xml:space="preserve"> "</w:t>
      </w:r>
      <w:r w:rsidRPr="00AD732F">
        <w:rPr>
          <w:rFonts w:ascii="Times New Roman" w:hAnsi="Times New Roman"/>
          <w:sz w:val="28"/>
          <w:szCs w:val="28"/>
          <w:lang w:val="en-US"/>
        </w:rPr>
        <w:t>Dry</w:t>
      </w:r>
      <w:r w:rsidRPr="00AD732F">
        <w:rPr>
          <w:rFonts w:ascii="Times New Roman" w:hAnsi="Times New Roman"/>
          <w:sz w:val="28"/>
          <w:szCs w:val="28"/>
        </w:rPr>
        <w:t xml:space="preserve"> </w:t>
      </w:r>
      <w:r w:rsidRPr="00AD732F">
        <w:rPr>
          <w:rFonts w:ascii="Times New Roman" w:hAnsi="Times New Roman"/>
          <w:sz w:val="28"/>
          <w:szCs w:val="28"/>
          <w:lang w:val="en-US"/>
        </w:rPr>
        <w:t>Van</w:t>
      </w:r>
      <w:r w:rsidRPr="00AD732F">
        <w:rPr>
          <w:rFonts w:ascii="Times New Roman" w:hAnsi="Times New Roman"/>
          <w:sz w:val="28"/>
          <w:szCs w:val="28"/>
        </w:rPr>
        <w:t xml:space="preserve">" или </w:t>
      </w:r>
      <w:r w:rsidRPr="00AD732F">
        <w:rPr>
          <w:rFonts w:ascii="Times New Roman" w:hAnsi="Times New Roman"/>
          <w:sz w:val="28"/>
          <w:szCs w:val="28"/>
          <w:lang w:val="en-US"/>
        </w:rPr>
        <w:t>DC</w:t>
      </w:r>
      <w:r w:rsidRPr="00AD732F">
        <w:rPr>
          <w:rFonts w:ascii="Times New Roman" w:hAnsi="Times New Roman"/>
          <w:sz w:val="28"/>
          <w:szCs w:val="28"/>
        </w:rPr>
        <w:t xml:space="preserve"> "</w:t>
      </w:r>
      <w:r w:rsidRPr="00AD732F">
        <w:rPr>
          <w:rFonts w:ascii="Times New Roman" w:hAnsi="Times New Roman"/>
          <w:sz w:val="28"/>
          <w:szCs w:val="28"/>
          <w:lang w:val="en-US"/>
        </w:rPr>
        <w:t>Dry</w:t>
      </w:r>
      <w:r w:rsidRPr="00AD732F">
        <w:rPr>
          <w:rFonts w:ascii="Times New Roman" w:hAnsi="Times New Roman"/>
          <w:sz w:val="28"/>
          <w:szCs w:val="28"/>
        </w:rPr>
        <w:t xml:space="preserve"> </w:t>
      </w:r>
      <w:r w:rsidRPr="00AD732F">
        <w:rPr>
          <w:rFonts w:ascii="Times New Roman" w:hAnsi="Times New Roman"/>
          <w:sz w:val="28"/>
          <w:szCs w:val="28"/>
          <w:lang w:val="en-US"/>
        </w:rPr>
        <w:t>Cube</w:t>
      </w:r>
      <w:r w:rsidRPr="00AD732F">
        <w:rPr>
          <w:rFonts w:ascii="Times New Roman" w:hAnsi="Times New Roman"/>
          <w:sz w:val="28"/>
          <w:szCs w:val="28"/>
        </w:rPr>
        <w:t>" (например,</w:t>
      </w:r>
      <w:r>
        <w:rPr>
          <w:rFonts w:ascii="Times New Roman" w:hAnsi="Times New Roman"/>
          <w:sz w:val="28"/>
          <w:szCs w:val="28"/>
        </w:rPr>
        <w:t xml:space="preserve"> </w:t>
      </w:r>
      <w:r w:rsidRPr="00AD732F">
        <w:rPr>
          <w:rFonts w:ascii="Times New Roman" w:hAnsi="Times New Roman"/>
          <w:sz w:val="28"/>
          <w:szCs w:val="28"/>
        </w:rPr>
        <w:t>контейнер 20' DC, контейнер 40' DV). Это разные обозначения стандартных универсальных контейнеров, тип 1СС или 1АА, еще их называют сухогрузными контейнерами. К стандартным также относятся специальные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AD732F">
        <w:rPr>
          <w:rFonts w:ascii="Times New Roman" w:hAnsi="Times New Roman"/>
          <w:sz w:val="28"/>
          <w:szCs w:val="28"/>
        </w:rPr>
        <w:t>(например, 20' OT и 20' FR – 20-футовые контейнеры с открытым верхом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AD732F">
        <w:rPr>
          <w:rFonts w:ascii="Times New Roman" w:hAnsi="Times New Roman"/>
          <w:sz w:val="28"/>
          <w:szCs w:val="28"/>
        </w:rPr>
        <w:t>и платформа соответственно) и специализированные контейнеры (например</w:t>
      </w:r>
      <w:r>
        <w:rPr>
          <w:rFonts w:ascii="Times New Roman" w:hAnsi="Times New Roman"/>
          <w:sz w:val="28"/>
          <w:szCs w:val="28"/>
        </w:rPr>
        <w:t>,</w:t>
      </w:r>
      <w:r w:rsidRPr="00AD732F">
        <w:rPr>
          <w:rFonts w:ascii="Times New Roman" w:hAnsi="Times New Roman"/>
          <w:sz w:val="28"/>
          <w:szCs w:val="28"/>
        </w:rPr>
        <w:t xml:space="preserve"> 20' TC – 20-футовый контейнер-цистерна) вышеуказанных размеров.</w:t>
      </w:r>
    </w:p>
    <w:p w14:paraId="476B5431" w14:textId="6D8214B7" w:rsidR="00AD732F" w:rsidRPr="00AD732F" w:rsidRDefault="00AD732F" w:rsidP="00AD732F">
      <w:pPr>
        <w:spacing w:after="0" w:line="240" w:lineRule="auto"/>
        <w:ind w:left="-142" w:firstLine="426"/>
        <w:jc w:val="both"/>
        <w:rPr>
          <w:rFonts w:ascii="Times New Roman" w:hAnsi="Times New Roman"/>
          <w:sz w:val="28"/>
          <w:szCs w:val="28"/>
        </w:rPr>
      </w:pPr>
      <w:r w:rsidRPr="00AD732F">
        <w:rPr>
          <w:rFonts w:ascii="Times New Roman" w:hAnsi="Times New Roman"/>
          <w:sz w:val="28"/>
          <w:szCs w:val="28"/>
        </w:rPr>
        <w:t>Существуют также контейнеры с увеличенной высотой – 9 футов 6</w:t>
      </w:r>
      <w:r>
        <w:rPr>
          <w:rFonts w:ascii="Times New Roman" w:hAnsi="Times New Roman"/>
          <w:sz w:val="28"/>
          <w:szCs w:val="28"/>
        </w:rPr>
        <w:t xml:space="preserve"> </w:t>
      </w:r>
      <w:r w:rsidRPr="00AD732F">
        <w:rPr>
          <w:rFonts w:ascii="Times New Roman" w:hAnsi="Times New Roman"/>
          <w:sz w:val="28"/>
          <w:szCs w:val="28"/>
        </w:rPr>
        <w:t>дюймов (9'6'', что соответствует 2,90 м), имеющие обозначение HC "High-</w:t>
      </w:r>
      <w:proofErr w:type="spellStart"/>
      <w:r w:rsidRPr="00AD732F">
        <w:rPr>
          <w:rFonts w:ascii="Times New Roman" w:hAnsi="Times New Roman"/>
          <w:sz w:val="28"/>
          <w:szCs w:val="28"/>
        </w:rPr>
        <w:t>Cube</w:t>
      </w:r>
      <w:proofErr w:type="spellEnd"/>
      <w:r w:rsidRPr="00AD732F">
        <w:rPr>
          <w:rFonts w:ascii="Times New Roman" w:hAnsi="Times New Roman"/>
          <w:sz w:val="28"/>
          <w:szCs w:val="28"/>
        </w:rPr>
        <w:t>" или HQ "High-</w:t>
      </w:r>
      <w:proofErr w:type="spellStart"/>
      <w:r w:rsidRPr="00AD732F">
        <w:rPr>
          <w:rFonts w:ascii="Times New Roman" w:hAnsi="Times New Roman"/>
          <w:sz w:val="28"/>
          <w:szCs w:val="28"/>
        </w:rPr>
        <w:t>Quantity</w:t>
      </w:r>
      <w:proofErr w:type="spellEnd"/>
      <w:r w:rsidRPr="00AD732F">
        <w:rPr>
          <w:rFonts w:ascii="Times New Roman" w:hAnsi="Times New Roman"/>
          <w:sz w:val="28"/>
          <w:szCs w:val="28"/>
        </w:rPr>
        <w:t>" (например, контейнер 20' HC, контейнер</w:t>
      </w:r>
      <w:r>
        <w:rPr>
          <w:rFonts w:ascii="Times New Roman" w:hAnsi="Times New Roman"/>
          <w:sz w:val="28"/>
          <w:szCs w:val="28"/>
        </w:rPr>
        <w:t xml:space="preserve">      </w:t>
      </w:r>
      <w:r w:rsidRPr="00AD732F">
        <w:rPr>
          <w:rFonts w:ascii="Times New Roman" w:hAnsi="Times New Roman"/>
          <w:sz w:val="28"/>
          <w:szCs w:val="28"/>
        </w:rPr>
        <w:t>40' HC). Это универсальные контейнеры увеличенного объема типа 1ССС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AD732F">
        <w:rPr>
          <w:rFonts w:ascii="Times New Roman" w:hAnsi="Times New Roman"/>
          <w:sz w:val="28"/>
          <w:szCs w:val="28"/>
        </w:rPr>
        <w:t>либо 1ААА, а также специализированные контейнеры, например 40' REF</w:t>
      </w:r>
      <w:r>
        <w:rPr>
          <w:rFonts w:ascii="Times New Roman" w:hAnsi="Times New Roman"/>
          <w:sz w:val="28"/>
          <w:szCs w:val="28"/>
        </w:rPr>
        <w:t xml:space="preserve"> </w:t>
      </w:r>
      <w:r w:rsidRPr="00AD732F">
        <w:rPr>
          <w:rFonts w:ascii="Times New Roman" w:hAnsi="Times New Roman"/>
          <w:sz w:val="28"/>
          <w:szCs w:val="28"/>
        </w:rPr>
        <w:t>HC (40-футовый рефрижераторный контейнер с увеличенной высотой).</w:t>
      </w:r>
    </w:p>
    <w:p w14:paraId="2AB8FCCA" w14:textId="32FEE046" w:rsidR="00AD732F" w:rsidRPr="00AD732F" w:rsidRDefault="00AD732F" w:rsidP="00AD732F">
      <w:pPr>
        <w:spacing w:after="0" w:line="240" w:lineRule="auto"/>
        <w:ind w:left="-142" w:firstLine="426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D732F">
        <w:rPr>
          <w:rFonts w:ascii="Times New Roman" w:hAnsi="Times New Roman"/>
          <w:b/>
          <w:bCs/>
          <w:i/>
          <w:iCs/>
          <w:sz w:val="28"/>
          <w:szCs w:val="28"/>
        </w:rPr>
        <w:t xml:space="preserve">Самые распространенные ISO контейнеры – это контейнеры 20 футов (≈6 м) и 40 футов (≈12 м), шириной 8 футов (2,43 м). Из этого сложились сокращения "TEU" – </w:t>
      </w:r>
      <w:proofErr w:type="spellStart"/>
      <w:r w:rsidRPr="00AD732F">
        <w:rPr>
          <w:rFonts w:ascii="Times New Roman" w:hAnsi="Times New Roman"/>
          <w:b/>
          <w:bCs/>
          <w:i/>
          <w:iCs/>
          <w:sz w:val="28"/>
          <w:szCs w:val="28"/>
        </w:rPr>
        <w:t>Twenty-foot</w:t>
      </w:r>
      <w:proofErr w:type="spellEnd"/>
      <w:r w:rsidRPr="00AD732F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AD732F">
        <w:rPr>
          <w:rFonts w:ascii="Times New Roman" w:hAnsi="Times New Roman"/>
          <w:b/>
          <w:bCs/>
          <w:i/>
          <w:iCs/>
          <w:sz w:val="28"/>
          <w:szCs w:val="28"/>
        </w:rPr>
        <w:t>Equivalent</w:t>
      </w:r>
      <w:proofErr w:type="spellEnd"/>
      <w:r w:rsidRPr="00AD732F">
        <w:rPr>
          <w:rFonts w:ascii="Times New Roman" w:hAnsi="Times New Roman"/>
          <w:b/>
          <w:bCs/>
          <w:i/>
          <w:iCs/>
          <w:sz w:val="28"/>
          <w:szCs w:val="28"/>
        </w:rPr>
        <w:t xml:space="preserve"> Unit (20-футовый эквивалент) и "</w:t>
      </w:r>
      <w:r w:rsidRPr="00AD732F"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  <w:t>FEU</w:t>
      </w:r>
      <w:r w:rsidRPr="00AD732F">
        <w:rPr>
          <w:rFonts w:ascii="Times New Roman" w:hAnsi="Times New Roman"/>
          <w:b/>
          <w:bCs/>
          <w:i/>
          <w:iCs/>
          <w:sz w:val="28"/>
          <w:szCs w:val="28"/>
        </w:rPr>
        <w:t xml:space="preserve">" – </w:t>
      </w:r>
      <w:proofErr w:type="spellStart"/>
      <w:r w:rsidRPr="00AD732F"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  <w:t>Fourty</w:t>
      </w:r>
      <w:proofErr w:type="spellEnd"/>
      <w:r w:rsidRPr="00AD732F">
        <w:rPr>
          <w:rFonts w:ascii="Times New Roman" w:hAnsi="Times New Roman"/>
          <w:b/>
          <w:bCs/>
          <w:i/>
          <w:iCs/>
          <w:sz w:val="28"/>
          <w:szCs w:val="28"/>
        </w:rPr>
        <w:t>-</w:t>
      </w:r>
      <w:r w:rsidRPr="00AD732F"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  <w:t>foot</w:t>
      </w:r>
      <w:r w:rsidRPr="00AD732F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Pr="00AD732F"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  <w:t>Equivalent</w:t>
      </w:r>
      <w:r w:rsidRPr="00AD732F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Pr="00AD732F"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  <w:t>Unit</w:t>
      </w:r>
      <w:r w:rsidRPr="00AD732F">
        <w:rPr>
          <w:rFonts w:ascii="Times New Roman" w:hAnsi="Times New Roman"/>
          <w:b/>
          <w:bCs/>
          <w:i/>
          <w:iCs/>
          <w:sz w:val="28"/>
          <w:szCs w:val="28"/>
        </w:rPr>
        <w:t xml:space="preserve"> (40-футовый эквивалент), что является единицей измерения загрузки контейнеровозных морских судов, терминалов для разгрузки контейнеров и товарных железнодорожных станций.</w:t>
      </w:r>
    </w:p>
    <w:p w14:paraId="293F28F0" w14:textId="647F13F3" w:rsidR="00AD732F" w:rsidRPr="00AD732F" w:rsidRDefault="00AD732F" w:rsidP="00AD732F">
      <w:pPr>
        <w:spacing w:after="0" w:line="240" w:lineRule="auto"/>
        <w:ind w:left="-142" w:firstLine="426"/>
        <w:jc w:val="both"/>
        <w:rPr>
          <w:rFonts w:ascii="Times New Roman" w:hAnsi="Times New Roman"/>
          <w:sz w:val="28"/>
          <w:szCs w:val="28"/>
        </w:rPr>
      </w:pPr>
      <w:r w:rsidRPr="00AD732F">
        <w:rPr>
          <w:rFonts w:ascii="Times New Roman" w:hAnsi="Times New Roman"/>
          <w:sz w:val="28"/>
          <w:szCs w:val="28"/>
        </w:rPr>
        <w:t>Контейнеры с увеличенной шириной PW (</w:t>
      </w:r>
      <w:proofErr w:type="spellStart"/>
      <w:r w:rsidRPr="00AD732F">
        <w:rPr>
          <w:rFonts w:ascii="Times New Roman" w:hAnsi="Times New Roman"/>
          <w:sz w:val="28"/>
          <w:szCs w:val="28"/>
        </w:rPr>
        <w:t>Pallet</w:t>
      </w:r>
      <w:proofErr w:type="spellEnd"/>
      <w:r w:rsidRPr="00AD732F">
        <w:rPr>
          <w:rFonts w:ascii="Times New Roman" w:hAnsi="Times New Roman"/>
          <w:sz w:val="28"/>
          <w:szCs w:val="28"/>
        </w:rPr>
        <w:t xml:space="preserve"> Wide, 2,5 м) имеют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AD732F">
        <w:rPr>
          <w:rFonts w:ascii="Times New Roman" w:hAnsi="Times New Roman"/>
          <w:sz w:val="28"/>
          <w:szCs w:val="28"/>
        </w:rPr>
        <w:t>внутреннюю ширину 2,44 м и позволяют загружать 2 поддона шириной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AD732F">
        <w:rPr>
          <w:rFonts w:ascii="Times New Roman" w:hAnsi="Times New Roman"/>
          <w:sz w:val="28"/>
          <w:szCs w:val="28"/>
        </w:rPr>
        <w:t>1,20 м в один ряд.</w:t>
      </w:r>
    </w:p>
    <w:p w14:paraId="2FE2E669" w14:textId="61268115" w:rsidR="00AD732F" w:rsidRPr="00AD732F" w:rsidRDefault="00AD732F" w:rsidP="00AD732F">
      <w:pPr>
        <w:spacing w:after="0" w:line="240" w:lineRule="auto"/>
        <w:ind w:left="-142" w:firstLine="426"/>
        <w:jc w:val="both"/>
        <w:rPr>
          <w:rFonts w:ascii="Times New Roman" w:hAnsi="Times New Roman"/>
          <w:sz w:val="28"/>
          <w:szCs w:val="28"/>
        </w:rPr>
      </w:pPr>
      <w:r w:rsidRPr="00AD732F">
        <w:rPr>
          <w:rFonts w:ascii="Times New Roman" w:hAnsi="Times New Roman"/>
          <w:sz w:val="28"/>
          <w:szCs w:val="28"/>
        </w:rPr>
        <w:t>Размеры выбраны так, что контейнеры 20-, 40- и 45-ти футов могут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AD732F">
        <w:rPr>
          <w:rFonts w:ascii="Times New Roman" w:hAnsi="Times New Roman"/>
          <w:sz w:val="28"/>
          <w:szCs w:val="28"/>
        </w:rPr>
        <w:t>перевозиться на грузовых автомобилях, железнодорожном транспорте 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AD732F">
        <w:rPr>
          <w:rFonts w:ascii="Times New Roman" w:hAnsi="Times New Roman"/>
          <w:sz w:val="28"/>
          <w:szCs w:val="28"/>
        </w:rPr>
        <w:t>морских контейнеровозах.</w:t>
      </w:r>
    </w:p>
    <w:p w14:paraId="4BE37555" w14:textId="281644BF" w:rsidR="00AD732F" w:rsidRPr="00AD732F" w:rsidRDefault="00AD732F" w:rsidP="00AD732F">
      <w:pPr>
        <w:spacing w:after="0" w:line="240" w:lineRule="auto"/>
        <w:ind w:left="-142" w:firstLine="426"/>
        <w:jc w:val="both"/>
        <w:rPr>
          <w:rFonts w:ascii="Times New Roman" w:hAnsi="Times New Roman"/>
          <w:sz w:val="28"/>
          <w:szCs w:val="28"/>
        </w:rPr>
      </w:pPr>
      <w:r w:rsidRPr="00AD732F">
        <w:rPr>
          <w:rFonts w:ascii="Times New Roman" w:hAnsi="Times New Roman"/>
          <w:sz w:val="28"/>
          <w:szCs w:val="28"/>
        </w:rPr>
        <w:t>Международные контейнеры являются унифицированными и соответствуют международным требованиям, предъявляемым к контейнерам</w:t>
      </w:r>
      <w:r>
        <w:rPr>
          <w:rFonts w:ascii="Times New Roman" w:hAnsi="Times New Roman"/>
          <w:sz w:val="28"/>
          <w:szCs w:val="28"/>
        </w:rPr>
        <w:t>.</w:t>
      </w:r>
      <w:r w:rsidRPr="00AD732F">
        <w:rPr>
          <w:rFonts w:ascii="Times New Roman" w:hAnsi="Times New Roman"/>
          <w:sz w:val="28"/>
          <w:szCs w:val="28"/>
        </w:rPr>
        <w:t xml:space="preserve"> </w:t>
      </w:r>
    </w:p>
    <w:p w14:paraId="7123A287" w14:textId="6F005A3C" w:rsidR="00AD732F" w:rsidRDefault="00AD732F" w:rsidP="00AD732F">
      <w:pPr>
        <w:spacing w:after="0" w:line="240" w:lineRule="auto"/>
        <w:ind w:left="142"/>
        <w:jc w:val="both"/>
        <w:rPr>
          <w:rFonts w:ascii="Times New Roman" w:hAnsi="Times New Roman"/>
          <w:sz w:val="28"/>
          <w:szCs w:val="28"/>
        </w:rPr>
      </w:pPr>
      <w:r w:rsidRPr="00AD732F">
        <w:rPr>
          <w:rFonts w:ascii="Times New Roman" w:hAnsi="Times New Roman"/>
          <w:sz w:val="28"/>
          <w:szCs w:val="28"/>
        </w:rPr>
        <w:t xml:space="preserve"> </w:t>
      </w:r>
    </w:p>
    <w:p w14:paraId="33279E62" w14:textId="675AA863" w:rsidR="004626D8" w:rsidRPr="00FC099D" w:rsidRDefault="004626D8" w:rsidP="00FC099D">
      <w:pPr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C099D">
        <w:rPr>
          <w:rFonts w:ascii="Times New Roman" w:hAnsi="Times New Roman"/>
          <w:b/>
          <w:bCs/>
          <w:i/>
          <w:iCs/>
          <w:sz w:val="28"/>
          <w:szCs w:val="28"/>
        </w:rPr>
        <w:t xml:space="preserve">Вариант </w:t>
      </w:r>
      <w:proofErr w:type="spellStart"/>
      <w:r w:rsidRPr="00FC099D">
        <w:rPr>
          <w:rFonts w:ascii="Times New Roman" w:hAnsi="Times New Roman"/>
          <w:b/>
          <w:bCs/>
          <w:i/>
          <w:iCs/>
          <w:sz w:val="28"/>
          <w:szCs w:val="28"/>
        </w:rPr>
        <w:t>штабелирования</w:t>
      </w:r>
      <w:proofErr w:type="spellEnd"/>
      <w:r w:rsidRPr="00FC099D">
        <w:rPr>
          <w:rFonts w:ascii="Times New Roman" w:hAnsi="Times New Roman"/>
          <w:b/>
          <w:bCs/>
          <w:i/>
          <w:iCs/>
          <w:sz w:val="28"/>
          <w:szCs w:val="28"/>
        </w:rPr>
        <w:t xml:space="preserve"> контейнеров.</w:t>
      </w:r>
    </w:p>
    <w:p w14:paraId="46CA0723" w14:textId="77777777" w:rsidR="00841B82" w:rsidRPr="00240983" w:rsidRDefault="00841B82" w:rsidP="00841B82">
      <w:pPr>
        <w:spacing w:after="0" w:line="240" w:lineRule="auto"/>
        <w:ind w:firstLine="567"/>
        <w:jc w:val="both"/>
        <w:rPr>
          <w:rFonts w:ascii="Times New Roman" w:hAnsi="Times New Roman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841B82" w:rsidRPr="000D437A" w14:paraId="6E740D66" w14:textId="77777777" w:rsidTr="00770E81">
        <w:tc>
          <w:tcPr>
            <w:tcW w:w="2336" w:type="dxa"/>
            <w:shd w:val="clear" w:color="auto" w:fill="auto"/>
            <w:vAlign w:val="center"/>
          </w:tcPr>
          <w:p w14:paraId="4F80A5CD" w14:textId="77777777" w:rsidR="00841B82" w:rsidRPr="000D437A" w:rsidRDefault="00841B82" w:rsidP="002001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D437A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1D</w:t>
            </w:r>
          </w:p>
          <w:p w14:paraId="15658C62" w14:textId="77777777" w:rsidR="00841B82" w:rsidRPr="000D437A" w:rsidRDefault="00841B82" w:rsidP="002001AF">
            <w:pPr>
              <w:spacing w:after="0" w:line="240" w:lineRule="auto"/>
              <w:jc w:val="center"/>
            </w:pPr>
          </w:p>
        </w:tc>
        <w:tc>
          <w:tcPr>
            <w:tcW w:w="2336" w:type="dxa"/>
            <w:shd w:val="clear" w:color="auto" w:fill="auto"/>
            <w:vAlign w:val="center"/>
          </w:tcPr>
          <w:p w14:paraId="73C73615" w14:textId="77777777" w:rsidR="00841B82" w:rsidRPr="000D437A" w:rsidRDefault="00841B82" w:rsidP="002001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D437A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1D</w:t>
            </w:r>
          </w:p>
          <w:p w14:paraId="3C72C375" w14:textId="77777777" w:rsidR="00841B82" w:rsidRPr="000D437A" w:rsidRDefault="00841B82" w:rsidP="002001AF">
            <w:pPr>
              <w:spacing w:after="0" w:line="240" w:lineRule="auto"/>
              <w:jc w:val="center"/>
            </w:pPr>
          </w:p>
        </w:tc>
        <w:tc>
          <w:tcPr>
            <w:tcW w:w="2336" w:type="dxa"/>
            <w:shd w:val="clear" w:color="auto" w:fill="auto"/>
            <w:vAlign w:val="center"/>
          </w:tcPr>
          <w:p w14:paraId="19C134DA" w14:textId="77777777" w:rsidR="00841B82" w:rsidRPr="000D437A" w:rsidRDefault="00841B82" w:rsidP="002001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D437A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1D</w:t>
            </w:r>
          </w:p>
          <w:p w14:paraId="24153E67" w14:textId="77777777" w:rsidR="00841B82" w:rsidRPr="000D437A" w:rsidRDefault="00841B82" w:rsidP="002001AF">
            <w:pPr>
              <w:spacing w:after="0" w:line="240" w:lineRule="auto"/>
              <w:jc w:val="center"/>
            </w:pPr>
          </w:p>
        </w:tc>
        <w:tc>
          <w:tcPr>
            <w:tcW w:w="2336" w:type="dxa"/>
            <w:shd w:val="clear" w:color="auto" w:fill="auto"/>
            <w:vAlign w:val="center"/>
          </w:tcPr>
          <w:p w14:paraId="5E07B987" w14:textId="77777777" w:rsidR="00841B82" w:rsidRPr="000D437A" w:rsidRDefault="00841B82" w:rsidP="002001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D437A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1D</w:t>
            </w:r>
          </w:p>
          <w:p w14:paraId="69654E27" w14:textId="77777777" w:rsidR="00841B82" w:rsidRPr="000D437A" w:rsidRDefault="00841B82" w:rsidP="002001AF">
            <w:pPr>
              <w:spacing w:after="0" w:line="240" w:lineRule="auto"/>
              <w:jc w:val="center"/>
            </w:pPr>
          </w:p>
        </w:tc>
      </w:tr>
      <w:tr w:rsidR="00841B82" w:rsidRPr="000D437A" w14:paraId="19A6B26B" w14:textId="77777777" w:rsidTr="00770E81">
        <w:tc>
          <w:tcPr>
            <w:tcW w:w="7008" w:type="dxa"/>
            <w:gridSpan w:val="3"/>
            <w:shd w:val="clear" w:color="auto" w:fill="auto"/>
            <w:vAlign w:val="center"/>
          </w:tcPr>
          <w:p w14:paraId="7532FD16" w14:textId="77777777" w:rsidR="00841B82" w:rsidRPr="000D437A" w:rsidRDefault="00841B82" w:rsidP="002001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D437A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1B</w:t>
            </w:r>
          </w:p>
          <w:p w14:paraId="402418B9" w14:textId="77777777" w:rsidR="00841B82" w:rsidRPr="000D437A" w:rsidRDefault="00841B82" w:rsidP="002001AF">
            <w:pPr>
              <w:spacing w:after="0" w:line="240" w:lineRule="auto"/>
              <w:jc w:val="center"/>
            </w:pPr>
          </w:p>
        </w:tc>
        <w:tc>
          <w:tcPr>
            <w:tcW w:w="2336" w:type="dxa"/>
            <w:shd w:val="clear" w:color="auto" w:fill="auto"/>
            <w:vAlign w:val="center"/>
          </w:tcPr>
          <w:p w14:paraId="43D5420E" w14:textId="77777777" w:rsidR="00841B82" w:rsidRPr="000D437A" w:rsidRDefault="00841B82" w:rsidP="002001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D437A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1D</w:t>
            </w:r>
          </w:p>
          <w:p w14:paraId="6753EC8C" w14:textId="77777777" w:rsidR="00841B82" w:rsidRPr="000D437A" w:rsidRDefault="00841B82" w:rsidP="002001AF">
            <w:pPr>
              <w:spacing w:after="0" w:line="240" w:lineRule="auto"/>
              <w:jc w:val="center"/>
            </w:pPr>
          </w:p>
        </w:tc>
      </w:tr>
      <w:tr w:rsidR="00841B82" w:rsidRPr="000D437A" w14:paraId="7F3EFAB0" w14:textId="77777777" w:rsidTr="00770E81">
        <w:tc>
          <w:tcPr>
            <w:tcW w:w="4672" w:type="dxa"/>
            <w:gridSpan w:val="2"/>
            <w:shd w:val="clear" w:color="auto" w:fill="auto"/>
          </w:tcPr>
          <w:p w14:paraId="2B177A81" w14:textId="77777777" w:rsidR="00841B82" w:rsidRPr="000D437A" w:rsidRDefault="00841B82" w:rsidP="002001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D437A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1C</w:t>
            </w:r>
          </w:p>
          <w:p w14:paraId="3EC37337" w14:textId="77777777" w:rsidR="00841B82" w:rsidRPr="000D437A" w:rsidRDefault="00841B82" w:rsidP="002001AF">
            <w:pPr>
              <w:spacing w:after="0" w:line="240" w:lineRule="auto"/>
            </w:pPr>
          </w:p>
        </w:tc>
        <w:tc>
          <w:tcPr>
            <w:tcW w:w="4672" w:type="dxa"/>
            <w:gridSpan w:val="2"/>
            <w:shd w:val="clear" w:color="auto" w:fill="auto"/>
          </w:tcPr>
          <w:p w14:paraId="6B27E257" w14:textId="77777777" w:rsidR="00841B82" w:rsidRPr="000D437A" w:rsidRDefault="00841B82" w:rsidP="002001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D437A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1C</w:t>
            </w:r>
          </w:p>
          <w:p w14:paraId="742309E1" w14:textId="77777777" w:rsidR="00841B82" w:rsidRPr="000D437A" w:rsidRDefault="00841B82" w:rsidP="002001AF">
            <w:pPr>
              <w:spacing w:after="0" w:line="240" w:lineRule="auto"/>
            </w:pPr>
          </w:p>
        </w:tc>
      </w:tr>
      <w:tr w:rsidR="00841B82" w:rsidRPr="000D437A" w14:paraId="59FF57FC" w14:textId="77777777" w:rsidTr="00770E81">
        <w:tc>
          <w:tcPr>
            <w:tcW w:w="9344" w:type="dxa"/>
            <w:gridSpan w:val="4"/>
            <w:shd w:val="clear" w:color="auto" w:fill="auto"/>
          </w:tcPr>
          <w:p w14:paraId="2E243F2E" w14:textId="77777777" w:rsidR="00841B82" w:rsidRPr="000D437A" w:rsidRDefault="00841B82" w:rsidP="002001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</w:pPr>
            <w:r w:rsidRPr="000D437A"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1A</w:t>
            </w:r>
          </w:p>
          <w:p w14:paraId="3F988A53" w14:textId="77777777" w:rsidR="00841B82" w:rsidRPr="000D437A" w:rsidRDefault="00841B82" w:rsidP="002001AF">
            <w:pPr>
              <w:spacing w:after="0" w:line="240" w:lineRule="auto"/>
            </w:pPr>
          </w:p>
        </w:tc>
      </w:tr>
    </w:tbl>
    <w:p w14:paraId="04589AD2" w14:textId="77777777" w:rsidR="00770E81" w:rsidRDefault="00770E81" w:rsidP="000617D7">
      <w:pPr>
        <w:spacing w:after="0"/>
        <w:jc w:val="both"/>
        <w:rPr>
          <w:noProof/>
        </w:rPr>
      </w:pPr>
    </w:p>
    <w:p w14:paraId="68C1E077" w14:textId="76732716" w:rsidR="004626D8" w:rsidRDefault="004626D8" w:rsidP="000617D7">
      <w:pPr>
        <w:spacing w:after="0"/>
        <w:jc w:val="both"/>
        <w:rPr>
          <w:noProof/>
        </w:rPr>
      </w:pPr>
    </w:p>
    <w:p w14:paraId="57107CFE" w14:textId="2E98070C" w:rsidR="00770E81" w:rsidRPr="00770E81" w:rsidRDefault="00770E81" w:rsidP="00770E81"/>
    <w:sectPr w:rsidR="00770E81" w:rsidRPr="00770E81" w:rsidSect="006C0B77">
      <w:footerReference w:type="default" r:id="rId14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58D789" w14:textId="77777777" w:rsidR="00BD42E5" w:rsidRDefault="00BD42E5" w:rsidP="00841B82">
      <w:pPr>
        <w:spacing w:after="0" w:line="240" w:lineRule="auto"/>
      </w:pPr>
      <w:r>
        <w:separator/>
      </w:r>
    </w:p>
  </w:endnote>
  <w:endnote w:type="continuationSeparator" w:id="0">
    <w:p w14:paraId="6FA566B1" w14:textId="77777777" w:rsidR="00BD42E5" w:rsidRDefault="00BD42E5" w:rsidP="00841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07708304"/>
      <w:docPartObj>
        <w:docPartGallery w:val="Page Numbers (Bottom of Page)"/>
        <w:docPartUnique/>
      </w:docPartObj>
    </w:sdtPr>
    <w:sdtEndPr/>
    <w:sdtContent>
      <w:p w14:paraId="7E8A3465" w14:textId="4FC7B775" w:rsidR="00841B82" w:rsidRDefault="00841B8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7DE87AC" w14:textId="77777777" w:rsidR="00841B82" w:rsidRDefault="00841B8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8806DD" w14:textId="77777777" w:rsidR="00BD42E5" w:rsidRDefault="00BD42E5" w:rsidP="00841B82">
      <w:pPr>
        <w:spacing w:after="0" w:line="240" w:lineRule="auto"/>
      </w:pPr>
      <w:r>
        <w:separator/>
      </w:r>
    </w:p>
  </w:footnote>
  <w:footnote w:type="continuationSeparator" w:id="0">
    <w:p w14:paraId="5F77545D" w14:textId="77777777" w:rsidR="00BD42E5" w:rsidRDefault="00BD42E5" w:rsidP="00841B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994"/>
    <w:rsid w:val="000617D7"/>
    <w:rsid w:val="00367003"/>
    <w:rsid w:val="003D4BBE"/>
    <w:rsid w:val="00425807"/>
    <w:rsid w:val="004626D8"/>
    <w:rsid w:val="004D3700"/>
    <w:rsid w:val="005B1994"/>
    <w:rsid w:val="006C0B77"/>
    <w:rsid w:val="00770E81"/>
    <w:rsid w:val="008242FF"/>
    <w:rsid w:val="00841B82"/>
    <w:rsid w:val="00870751"/>
    <w:rsid w:val="008D0CE8"/>
    <w:rsid w:val="00922C48"/>
    <w:rsid w:val="00AD657F"/>
    <w:rsid w:val="00AD732F"/>
    <w:rsid w:val="00B915B7"/>
    <w:rsid w:val="00BD42E5"/>
    <w:rsid w:val="00BD49EE"/>
    <w:rsid w:val="00C55694"/>
    <w:rsid w:val="00CA747A"/>
    <w:rsid w:val="00E870D7"/>
    <w:rsid w:val="00EA59DF"/>
    <w:rsid w:val="00EE4070"/>
    <w:rsid w:val="00F12C76"/>
    <w:rsid w:val="00F858BA"/>
    <w:rsid w:val="00FC0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79C047B"/>
  <w15:chartTrackingRefBased/>
  <w15:docId w15:val="{926AB0BA-F99E-496E-BF8D-1E325A46F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1B8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B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41B82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841B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41B82"/>
    <w:rPr>
      <w:rFonts w:ascii="Calibri" w:eastAsia="Calibri" w:hAnsi="Calibri" w:cs="Times New Roman"/>
    </w:rPr>
  </w:style>
  <w:style w:type="character" w:styleId="a7">
    <w:name w:val="Placeholder Text"/>
    <w:basedOn w:val="a0"/>
    <w:uiPriority w:val="99"/>
    <w:semiHidden/>
    <w:rsid w:val="004626D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901</Words>
  <Characters>5140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2022-01-24T08:26:00Z</cp:lastPrinted>
  <dcterms:created xsi:type="dcterms:W3CDTF">2022-01-20T12:54:00Z</dcterms:created>
  <dcterms:modified xsi:type="dcterms:W3CDTF">2022-01-24T08:27:00Z</dcterms:modified>
</cp:coreProperties>
</file>