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0C" w:rsidRPr="00A43EC1" w:rsidRDefault="00A43EC1" w:rsidP="00A43EC1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43EC1">
        <w:rPr>
          <w:rFonts w:ascii="Times New Roman" w:hAnsi="Times New Roman" w:cs="Times New Roman"/>
          <w:sz w:val="28"/>
          <w:szCs w:val="28"/>
        </w:rPr>
        <w:t>Тема: «Луговое кормопроизводство как отрасль сельского хозяйства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1.5.1 Вопросы лекции: 25 1. Проблемы и приоритеты развития лугового кормопроизводства как отрасли сельского хозяйства. 2. Состояние природных сенокосов и пастбищ, необходимость их улучшения в условиях Оренбургской области 3. Биологические и экологические особенности растений сенокосов и пастбищ. 1.5.2 Краткое содержание вопросов: 1. Проблемы и приоритеты развития лугового кормопроизводства как отрасли сельского хозяйства. Научная основа луговодства теснейшим образом связана с биологией и экологией –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науками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вскрывающими закономерности развития жизни растений, изучающими взаимоотношения растений с окружающей средой. На основе знаний биологии растений и их экологические свойства можно установить требуемую агротехнику, правильно организовать использование угодий и добиться высокой продуктивности. Луговодство - как наука является молодой. А.Н.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Шейников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выделяет 5 периодов в истории луговодства нашей страны. Первый период с 1860 года до конца 19 века, работа сосредотачивалась на описании луговой географии. Первые работы по описанию естественной растительности сделаны ассистентом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Лепѐхиным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Палассом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В конце XVIII – начале XIX веков русские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учѐные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Комов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Болотов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, Энгельс изучали кормовые травы и проводили опыты по травосеянию. Русский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учѐный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Советов пишет работы по истории травосеяния в России.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Стебут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охарактеризовал 60 видов главных кормовых трав, указал урожай каждого растений, характер их использования, сезон использования, нормы высева, районы возделывания. Он первый начал читать курс лекций луговодства в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Тимирязевской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академии. Второй период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отсится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к десятилетию XX века, когда начали разрабатывать теоретические основы луговодства. Вильямс создал теорию луговодства. Дмитриев положил начало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фитотопологической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классификации лугов и являлся организатором научно-исследовательской работы по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луговедению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Фитон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-растение,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топо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рельеф. Третий период с 1910 до октября революции. Была организована опытная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станция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где изучались кормовые растения. В этот период был создан луговой институт, который в 1930 преобразован в институт кормов, который существует и сейчас. IV период - Определена вся площадь различных типов лугов и их размещения. Проведена технологическая инвентаризация кормовых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угодий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а также их площади в СССР. V период -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характер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>тационарными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исследованиями растительности лугов. Большую лепту в изучение луговодства внесли русские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учѐные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Дмитриев создал учебник «Луговодство с основами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луговедения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>», Где представил классификацию лугов-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лесо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-луговой зоны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привѐл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теоретические основы луговодства и пастбищного хозяйства. Смелов в своих работах описал </w:t>
      </w:r>
      <w:r w:rsidRPr="00A43EC1">
        <w:rPr>
          <w:rFonts w:ascii="Times New Roman" w:hAnsi="Times New Roman" w:cs="Times New Roman"/>
          <w:sz w:val="28"/>
          <w:szCs w:val="28"/>
        </w:rPr>
        <w:lastRenderedPageBreak/>
        <w:t xml:space="preserve">вегетативное возобновление злаковых трав в связи с применением различных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способобов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их использования.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Шенников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– книга « Луговая растительность » СССР (1938 г.) где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даѐтся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характеристика лугов различных зон. Большая работа по изучению естественных кормов угодий степных районов была проведена крупным луговодом академиком Лариным 1950- 56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годах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. Он выпустил </w:t>
      </w:r>
      <w:proofErr w:type="spellStart"/>
      <w:proofErr w:type="gramStart"/>
      <w:r w:rsidRPr="00A43EC1">
        <w:rPr>
          <w:rFonts w:ascii="Times New Roman" w:hAnsi="Times New Roman" w:cs="Times New Roman"/>
          <w:sz w:val="28"/>
          <w:szCs w:val="28"/>
        </w:rPr>
        <w:t>тр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>ѐх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томную монографию где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даѐтся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характеристику 4,5 тыс. видов кормовых диких и культурных растений. Им же в 1956-59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>. выпущена книга: «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Лугводство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и пастбищное хозяйство». Евсеев (1954г.) выпустил книгу « Пастбища Юго-востока »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26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Что следует понимать под понятием луг?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что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определѐнного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понятия нет. Западно-европейские шведские ботаники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Штеблер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Шретер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называли лугом ассоциации разных многолетних травянистых растений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кроме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подводных.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Алѐхин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лугом называл травянистое пространство с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мезофитной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растительностью, при таком определении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луга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по мнению автора луг хорошо ограничивается от болот с их гидрофильной растительностью. По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Шенникову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– луг – суть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ассоциациитравянисттых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многолетних мезофитов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.е</w:t>
      </w:r>
      <w:proofErr w:type="spellEnd"/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многолетние растения которые растут при среднем увлажнении в лесной и лесостепной зонах и на поймах всех зон.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сюда не входят ксерофитные травы. Дмитриев лугами называет « участки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зелѐной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суши, занятой многолетней травянистой растительностью, образующей травяной покров или травостой ». При этом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луга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используемые для заготовки сена, он называет луговыми сенокосами, а луга используемые системы выпаса – луговыми пастбищами. Это определение наиболее удачное, которое мы используем до настоящего времени. 2. Состояние природных сенокосов и пастбищ, необходимость их улучшения в условиях Оренбургской области. Одним из основных источников энергетически сильного корма, полноценного по протеиновой питательности -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зерносенаж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, полученных из смесей зерновых культур с горохом либо викой. Под эти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смеси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уже начиная с 1987 года под эти смеси предусматривалось отвести около трети всей кормовой пашни. Питательность рационов будет повышаться за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счѐт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таких энергетически сильных кормов, как зерна кукурузы,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корнажа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, травяной муки. Только за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счѐт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выращивания кукурузы по зерновой технологии на площади 150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в 1990 году сбор кормовых единиц достиг 362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тыс.т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что составляет почти четверть потребности животноводства в концентрированных кормах. Многолетние трав выращивались за прошедшую пятилетку на площади 280 тыс. га. И урожайность составила всего 10,8 ц с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. Необходимо занимать пашню бобовыми культурами – эспарцетом, люцерной, донником. При необходимости они могут высеваться в смеси со злаковыми культурами. Естественные сенокосы и пастбища являются крупным резервом </w:t>
      </w:r>
      <w:r w:rsidRPr="00A43EC1">
        <w:rPr>
          <w:rFonts w:ascii="Times New Roman" w:hAnsi="Times New Roman" w:cs="Times New Roman"/>
          <w:sz w:val="28"/>
          <w:szCs w:val="28"/>
        </w:rPr>
        <w:lastRenderedPageBreak/>
        <w:t xml:space="preserve">производства кормов. Они занимают в области более 4,3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млн.га</w:t>
      </w:r>
      <w:proofErr w:type="spellEnd"/>
      <w:proofErr w:type="gramStart"/>
      <w:r w:rsidRPr="00A43EC1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из них 446 тыс. га. (10%) улучшенные. Обширные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территории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а урожайность крайне низкая. В среднем за 5 последних лет получено сена по 4,2 ц/га, с улучшенных – 7,1 ц/га. Сбор поедаемой массы не превышает 8-12 ц/га. Лугопастбищная территория должна поставлять не менее 1/3 общей потребности в кормах в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пересчѐте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на кормовые единицы. В настоящее время 70% валового производства кормов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даѐт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пашня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поэтому пахотные земли должны использоваться эффективно. Ежегодно четверть пахотных земель отводится под посевы комовых и зернофуражных культур. С них хозяйства получают до 80% кормов.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Каждый гектар пашни дал в среднем за последние 5 лет по 12,4 центнеров кормовых единиц с гектара.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В целом по стране 14,5 кормовых единиц с гектара. Вместо положенных по норме на условную голову в год 30-32 центнера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., в области за 2011 год было скормлено 24,6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Pr="00A43EC1">
        <w:rPr>
          <w:rFonts w:ascii="Times New Roman" w:hAnsi="Times New Roman" w:cs="Times New Roman"/>
          <w:sz w:val="28"/>
          <w:szCs w:val="28"/>
        </w:rPr>
        <w:t>постране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25,5 ц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.) В рационе животных пастбищные корма занимают 20-30%, тогда как на пастбищах скот может содержаться не менее 5 месяцев.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необходимо улучшать естественные кормовые угодья, а также сеять однолетние и многолетние травы за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счѐт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систем улучшения природных кормовых угодий. Основная задача лугового кормопроизводства состоит в получении наибольшего количества сена и пастбищного корма с природных кормовых угодий, улучшение и правильное использование, создание продуктивных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сеянных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сенокосов и пастбищ. 27 Луговодство - как отрасль сельского хозяйства представляет собой по определению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учѐного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луговода Дмитриева – комплекс организационных мероприятий и технических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приѐмов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по использованию и улучшению естественных кормовых угодий. В области естественных кормовых угодий 4,5 млн. 570 тыс.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что составляет 40 % всей площади земель сельскохозяйственного назначения. Из них 670 тыс. га сенокосов и 3 млн. 900 тыс. га пастбищ. Средний урожай сенокосов в стране не более 10 ц/га, а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зелѐнной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массы 15-20 ц/га на пастбище. В области средний урожай сена 4 ц/га, травы на пастбище 7-12 ц/га. Причина низких урожаев природных сенокосов и пастбищ объясняется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запущением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угодий, отсутствие ухода, а также не правильное их использование. 25,5 % кормовых угодий в области находится в неудовлетворительном состоянии. При улучшении таких угодий и рациональном использовании можно превратить их в культурные кормовые угодья с урожаем сена до 25-30 ц/га. Только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поверхостное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улучшение естественных кормовых угодий повышает их продуктивность в 2-3 раза, а коренное в 3-5 и даже 10 раз с урожаем сена до 50 ц/га. На малопродуктивных сенокосах в 100 кг плохого сена содержание 30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и 2-2,5 кг протеина. В хорошем луговом сене и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сеянных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лугах в 100 кг находится </w:t>
      </w:r>
      <w:r w:rsidRPr="00A43EC1">
        <w:rPr>
          <w:rFonts w:ascii="Times New Roman" w:hAnsi="Times New Roman" w:cs="Times New Roman"/>
          <w:sz w:val="28"/>
          <w:szCs w:val="28"/>
        </w:rPr>
        <w:lastRenderedPageBreak/>
        <w:t xml:space="preserve">50-60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и 5 кг и больше белка. Эстония получает с хороших культурных пастбищ до 3-5 тыс.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с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, а у нас 300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с га. В Англии,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Голандии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, ГДР, ФРГ, при внесении повышенных доз удобрений и правильного стравливания травы, получают с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до 15 тыс.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к.е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. и до 2.5 тыс. кг протеина. Себестоимость пастбищного корма в несколько раз дешевле других видов кормов. Себестоимость кормовых единиц в пастбищном корме на высокоурожайных пастбищах не больше 1,5-2 рубля. Таким образом, вопросы повышения продуктивности природных кормовых угодий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путѐ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их повышения и рационального использования является основной задачей в создании кормовой базы. Это возможно добиться только при знании теоретических знаний луговодства. 3. Биологические показатели и основные жизненные формы растений. Основные жизненные формы растений. Побеги, развивающиеся из почек, могут быть различны по своему образованию у злаковых, бобовых, осок и разнотравья (куда входят растения ботанических семейств). Злаки. По характеру побегообразования (кущения) злаковые делят на следующие типы: корневищные, рыхлокустовые и плотнокустовые. Корневищные злаки имеют побеги наземные и подземные. У этих злаков узел кущения находится на глубине 5—20 см от поверхности почвы. От него в разные стороны отходят подземные побеги, или корневища, иногда отходящие от материнского побега на значительное расстояние (от 0,2 до 1 м). Всесоюзным научно-исследовательским институтом кормов установлено, что у корневищных злаков (пырея, костра, тростника и др.) наряду с корневищами на нижних частях стеблей имеются почки, из которых развиваются побеги при кущении. Каждое корневище на некотором расстоянии от главного побега образует новый узел кущения; из него выходят на поверхность почвы вертикальные надземные побеги. При разрастании корневищ в дальнейшем каждый дочерний подземный побег формирует из узла кущения новые наземные побеги с листьями и т. д. Таким образом, в результате вегетативного размножения вокруг материнского побега возникает сеть корневищ с большим количеством побегов. У каждого растения происходит ежегодный прирост корневищ, который достигает у некоторых трав, например у пырея ползучего, 1 м в год. Развиваясь лучше всего на рыхлых почвах с хорошей аэрацией, корневищные злаки образуют густой травостой. Благодаря тому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 xml:space="preserve">,, 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что наземные побеги у этих злаков не 28 прилегают друг к другу, куст у них неплотный, а корневища и корни создают рыхлую дернину. К корневищным злакам относятся пырей ползучий, костер безостый, острец, полевица белая, канареечник тростниковидный и др. Рыхлокустовые злаки. У этих злаков узел кущения расположен на небольшой глубине в почве (1—5 см). Побеги отходят от узлов кущения под острым </w:t>
      </w:r>
      <w:r w:rsidRPr="00A43EC1">
        <w:rPr>
          <w:rFonts w:ascii="Times New Roman" w:hAnsi="Times New Roman" w:cs="Times New Roman"/>
          <w:sz w:val="28"/>
          <w:szCs w:val="28"/>
        </w:rPr>
        <w:lastRenderedPageBreak/>
        <w:t xml:space="preserve">углом к главному побегу, образуя при выходе из почвы рыхлый куст. Ежегодно в нем вырастают новые побеги, каждый из которых имеет свой узел кущения. От этих узлов кущения идут новые побеги, благодаря чему куст увеличивается в объеме, но остается рыхлым, так как новые побеги, выходя на поверхность, располагаются недалеко друг от друга. Рыхлокустовые злаки образуют более плотную дернину, чем корневищные. Рыхлокустовые злаки лучше развиваются на неплотных суглинках и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суглинистосупесчаных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почвах, богатых питательными веществами, перегноем. К группе рыхлокустовых злаков относятся тимофеевка луговая, овсяница луговая, райграс высокий, райграс пастбищный, ежа сборная, житняки и др. Рыхлокустовые злаки в отличие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корневищных размножаются в основном семенами. Плотно кустовые злаки. По форме кущения они резко отличаются от корневищных и рыхлокустовых злаков: узлы кущ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лия у них располагаются на поверхности почвы или же неглубоко в почве (1—2 см), например, у растений сухих районов (типчак, ковыли). У плотнокустовых злаков междоузлия стеблей очень короткие; выходящие из узлов кущения боковые побеги направляются параллельно друг другу и перпендикулярно к поверхности почвы, плотно прижимаясь к материнскому побегу, образуя очень плотный куст. Нередко такие кусты, в которых центральная часть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дернины плотно прижата к земле, а края несколько приподняты, создают на лугах и пастбищах небольшие кочки. Плотнокустовые злаки образуют очень плотную и прочную дернину и могут произрастать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>а одном месте десятки лет. Большинство плотнокустовых злаков в кормовом отношении малоценные, хотя среди них имеются и ценные кормовые растения, например овсяница бороздчатая (типчак), которая в фазе полного выбрасывания метелки в засушливый год на 100 кг травы содержала 37 корм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43EC1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A43EC1">
        <w:rPr>
          <w:rFonts w:ascii="Times New Roman" w:hAnsi="Times New Roman" w:cs="Times New Roman"/>
          <w:sz w:val="28"/>
          <w:szCs w:val="28"/>
        </w:rPr>
        <w:t xml:space="preserve">д. и 3,7 кг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переваримого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 xml:space="preserve"> белка (Евсеев). Хорошими кормовыми растениями являются </w:t>
      </w:r>
      <w:proofErr w:type="spellStart"/>
      <w:r w:rsidRPr="00A43EC1">
        <w:rPr>
          <w:rFonts w:ascii="Times New Roman" w:hAnsi="Times New Roman" w:cs="Times New Roman"/>
          <w:sz w:val="28"/>
          <w:szCs w:val="28"/>
        </w:rPr>
        <w:t>ковылок</w:t>
      </w:r>
      <w:proofErr w:type="spellEnd"/>
      <w:r w:rsidRPr="00A43EC1">
        <w:rPr>
          <w:rFonts w:ascii="Times New Roman" w:hAnsi="Times New Roman" w:cs="Times New Roman"/>
          <w:sz w:val="28"/>
          <w:szCs w:val="28"/>
        </w:rPr>
        <w:t>, тонконог и др. Вообще же появление плотнокустовых злаков на сенокосах и пастбищах свидетельствует о вырождении кормовых угодий. Такие злаки обычно развиваются на уплотненных почвах, лишенных достаточного количества воздуха и питательных веществ. К плотнокустовым злакам относятся луговик дернистый (щучка), белоус торчащий, ковыли, овсяница бороздчатая (типчак) и др. Некоторые злаковые травы образуют особ</w:t>
      </w:r>
      <w:bookmarkEnd w:id="0"/>
    </w:p>
    <w:sectPr w:rsidR="00B76B0C" w:rsidRPr="00A43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763"/>
    <w:rsid w:val="007679E3"/>
    <w:rsid w:val="00927038"/>
    <w:rsid w:val="00A43EC1"/>
    <w:rsid w:val="00B5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1932</Words>
  <Characters>11018</Characters>
  <Application>Microsoft Office Word</Application>
  <DocSecurity>0</DocSecurity>
  <Lines>91</Lines>
  <Paragraphs>25</Paragraphs>
  <ScaleCrop>false</ScaleCrop>
  <Company>SPecialiST RePack</Company>
  <LinksUpToDate>false</LinksUpToDate>
  <CharactersWithSpaces>12925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2024-09-21T07:09:00Z</dcterms:created>
  <dcterms:modified xsi:type="dcterms:W3CDTF">2024-09-21T07:10:00Z</dcterms:modified>
</cp:coreProperties>
</file>