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0C" w:rsidRPr="00F6269C" w:rsidRDefault="00F6269C" w:rsidP="00F6269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6269C">
        <w:rPr>
          <w:rFonts w:ascii="Times New Roman" w:hAnsi="Times New Roman" w:cs="Times New Roman"/>
          <w:sz w:val="28"/>
          <w:szCs w:val="28"/>
        </w:rPr>
        <w:t>Обработка почвы. Под бахчевые культуры проводят глубокую зяблевую вспашку осенью, а весной — боронование и не менее двух предпосевных культивации с одновременным боронованием. На сильно уплотняющихся почвах в северных районах бахчеводства первую культивацию часто заменяют перепашкой. Посев. Подготовка семян. Для посева берут семена из вполне вызревших здоровых плодов. Всхожесть их должна быть не ниже 90%. Для повышения всхожести семена подвергают воздушно-тепловому обогреву в течение 3—5 дней. Перед посевом семена необходимо протравить 80%-</w:t>
      </w:r>
      <w:proofErr w:type="spellStart"/>
      <w:r w:rsidRPr="00F6269C">
        <w:rPr>
          <w:rFonts w:ascii="Times New Roman" w:hAnsi="Times New Roman" w:cs="Times New Roman"/>
          <w:sz w:val="28"/>
          <w:szCs w:val="28"/>
        </w:rPr>
        <w:t>ным</w:t>
      </w:r>
      <w:proofErr w:type="spellEnd"/>
      <w:r w:rsidRPr="00F6269C">
        <w:rPr>
          <w:rFonts w:ascii="Times New Roman" w:hAnsi="Times New Roman" w:cs="Times New Roman"/>
          <w:sz w:val="28"/>
          <w:szCs w:val="28"/>
        </w:rPr>
        <w:t xml:space="preserve"> ТМТД (5 г на 1 кг семян) или </w:t>
      </w:r>
      <w:proofErr w:type="spellStart"/>
      <w:r w:rsidRPr="00F6269C">
        <w:rPr>
          <w:rFonts w:ascii="Times New Roman" w:hAnsi="Times New Roman" w:cs="Times New Roman"/>
          <w:sz w:val="28"/>
          <w:szCs w:val="28"/>
        </w:rPr>
        <w:t>фентиурамом</w:t>
      </w:r>
      <w:proofErr w:type="spellEnd"/>
      <w:r w:rsidRPr="00F6269C">
        <w:rPr>
          <w:rFonts w:ascii="Times New Roman" w:hAnsi="Times New Roman" w:cs="Times New Roman"/>
          <w:sz w:val="28"/>
          <w:szCs w:val="28"/>
        </w:rPr>
        <w:t xml:space="preserve"> (4 г на 1 кг семян). Сроки посева. Посев бахчевых культур следует начинать, когда почва на глубине 10 см прогреется до 14—16°С. При посеве в непрогретую почву, а также при возврате холодов высеянные семена долго не дают всходов и могут загнить в почве. Способы посева. Семена высевают квадратно-гнездовым, прямоугольно-гнездовым и рядовым способом кукурузными, хлопковыми и специальными сеялками. Расстояние между гнездами или рядками для арбуза и тыквы 2,1—3 м, для дыни — 1,4—2,1 м и кабачка — 0,7 м. При квадратн</w:t>
      </w:r>
      <w:proofErr w:type="gramStart"/>
      <w:r w:rsidRPr="00F6269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F6269C">
        <w:rPr>
          <w:rFonts w:ascii="Times New Roman" w:hAnsi="Times New Roman" w:cs="Times New Roman"/>
          <w:sz w:val="28"/>
          <w:szCs w:val="28"/>
        </w:rPr>
        <w:t xml:space="preserve"> и прямоугольно-гнездовом способах посева арбузы и тыквы высевают чаще по схеме 2,1x2,1 по 1—2 растения в гнездо (2,3—4,6 тыс. растений на 1 га), дыни —2,1x1,4 или 1,4х X 1,4 м по два растения в гнездо (7,5—10,2 тыс. растений на 1 га) и кабачки—70x70 см, </w:t>
      </w:r>
      <w:proofErr w:type="spellStart"/>
      <w:r w:rsidRPr="00F6269C">
        <w:rPr>
          <w:rFonts w:ascii="Times New Roman" w:hAnsi="Times New Roman" w:cs="Times New Roman"/>
          <w:sz w:val="28"/>
          <w:szCs w:val="28"/>
        </w:rPr>
        <w:t>ІхІ</w:t>
      </w:r>
      <w:proofErr w:type="spellEnd"/>
      <w:r w:rsidRPr="00F6269C">
        <w:rPr>
          <w:rFonts w:ascii="Times New Roman" w:hAnsi="Times New Roman" w:cs="Times New Roman"/>
          <w:sz w:val="28"/>
          <w:szCs w:val="28"/>
        </w:rPr>
        <w:t xml:space="preserve"> м (10,2—20,4 тыс. растений на 1 га). Нормы высева семян арбуза 2—3 кг, тыквы — 3—5 кг, дыни и кабачка — по 2—4 кг на 1 га. Глубина посева семян арбуза и тыквы 6—8 см, дыни и кабачка — 3—5 см. Уход за посевами. До появления всходов проводят боронование и рыхление ротационными мотыгами для разрушения корки и уничтожения проростков сорняков. В дальнейшем проводят междурядные обработки на глубину 12—15 см при первых и 8—10 см при последующих обработках. При обработке междурядий разросшиеся плети растений необходимо убирать в сторону, чтобы не повредить их колесами тракторов и почвообрабатывающими орудиями. Для предупреждения </w:t>
      </w:r>
      <w:proofErr w:type="spellStart"/>
      <w:r w:rsidRPr="00F6269C">
        <w:rPr>
          <w:rFonts w:ascii="Times New Roman" w:hAnsi="Times New Roman" w:cs="Times New Roman"/>
          <w:sz w:val="28"/>
          <w:szCs w:val="28"/>
        </w:rPr>
        <w:t>перепухывания</w:t>
      </w:r>
      <w:proofErr w:type="spellEnd"/>
      <w:r w:rsidRPr="00F6269C">
        <w:rPr>
          <w:rFonts w:ascii="Times New Roman" w:hAnsi="Times New Roman" w:cs="Times New Roman"/>
          <w:sz w:val="28"/>
          <w:szCs w:val="28"/>
        </w:rPr>
        <w:t xml:space="preserve"> плетей ветром их присыпают сырой почвой. Это вызывает образование дополнительных корней, что улучшает питание растений. Хорошие результаты дает прищипка (чеканка) концов плетей во время цветения мужских цветков. В опытах Воронежского СХИ чеканка кормового арбуза повышала урожайность на 66,7 ц с 1 га. Орошение бахчевых культур начинают задолго до</w:t>
      </w:r>
      <w:proofErr w:type="gramStart"/>
      <w:r w:rsidRPr="00F6269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626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6269C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F6269C">
        <w:rPr>
          <w:rFonts w:ascii="Times New Roman" w:hAnsi="Times New Roman" w:cs="Times New Roman"/>
          <w:sz w:val="28"/>
          <w:szCs w:val="28"/>
        </w:rPr>
        <w:t xml:space="preserve">ветения и проводят 3—5 поливов с промежутками 10—15 дней. Во время цветения поливы временно прекращают, а возобновляют их при завязывании плодов. Поливная норма 600—800 м3 воды на 1 га. После каждого полива проводят рыхление междурядий. Уборка урожая. Созревание бахчевых культур, имеющих </w:t>
      </w:r>
      <w:r w:rsidRPr="00F6269C">
        <w:rPr>
          <w:rFonts w:ascii="Times New Roman" w:hAnsi="Times New Roman" w:cs="Times New Roman"/>
          <w:sz w:val="28"/>
          <w:szCs w:val="28"/>
        </w:rPr>
        <w:lastRenderedPageBreak/>
        <w:t xml:space="preserve">продолжительный период цветения, наступает неодновременно. Поэтому столовые сорта арбуза, дыни и кабачка убирают по мере созревания в несколько приемов, а тыкву и кормовой арбуз — в один прием, до наступления заморозков. Признаками созревания плодов арбуза является </w:t>
      </w:r>
      <w:proofErr w:type="spellStart"/>
      <w:r w:rsidRPr="00F6269C">
        <w:rPr>
          <w:rFonts w:ascii="Times New Roman" w:hAnsi="Times New Roman" w:cs="Times New Roman"/>
          <w:sz w:val="28"/>
          <w:szCs w:val="28"/>
        </w:rPr>
        <w:t>подсыхание</w:t>
      </w:r>
      <w:proofErr w:type="spellEnd"/>
      <w:r w:rsidRPr="00F6269C">
        <w:rPr>
          <w:rFonts w:ascii="Times New Roman" w:hAnsi="Times New Roman" w:cs="Times New Roman"/>
          <w:sz w:val="28"/>
          <w:szCs w:val="28"/>
        </w:rPr>
        <w:t xml:space="preserve"> плодоножки, огрубение коры и появление на ней ясного рисунка. Созревшие плоды дыни приобретают свойственные сорту окраску и рисунок. Спелость тыквы также можно определить по окраске плодов и плотности кожуры. Кабачки убирают до огрубения коры. У срываемых плодов для улучшения </w:t>
      </w:r>
      <w:proofErr w:type="spellStart"/>
      <w:r w:rsidRPr="00F6269C">
        <w:rPr>
          <w:rFonts w:ascii="Times New Roman" w:hAnsi="Times New Roman" w:cs="Times New Roman"/>
          <w:sz w:val="28"/>
          <w:szCs w:val="28"/>
        </w:rPr>
        <w:t>лежкости</w:t>
      </w:r>
      <w:proofErr w:type="spellEnd"/>
      <w:r w:rsidRPr="00F6269C">
        <w:rPr>
          <w:rFonts w:ascii="Times New Roman" w:hAnsi="Times New Roman" w:cs="Times New Roman"/>
          <w:sz w:val="28"/>
          <w:szCs w:val="28"/>
        </w:rPr>
        <w:t xml:space="preserve"> следует оставлять плодоножки. Вызревшие и неповрежденные плоды тыквы и кормового арбуза могут храниться в сухом и утепленном помещении при температуре 2—5</w:t>
      </w:r>
      <w:proofErr w:type="gramStart"/>
      <w:r w:rsidRPr="00F6269C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F6269C">
        <w:rPr>
          <w:rFonts w:ascii="Times New Roman" w:hAnsi="Times New Roman" w:cs="Times New Roman"/>
          <w:sz w:val="28"/>
          <w:szCs w:val="28"/>
        </w:rPr>
        <w:t xml:space="preserve"> почти в течение всей зимы. 24 Столовый арбуз и дыня, за исключением среднеазиатской и закавказской, хранятся недолго.</w:t>
      </w:r>
      <w:bookmarkEnd w:id="0"/>
    </w:p>
    <w:sectPr w:rsidR="00B76B0C" w:rsidRPr="00F62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BE1"/>
    <w:rsid w:val="007679E3"/>
    <w:rsid w:val="007A6BE1"/>
    <w:rsid w:val="00927038"/>
    <w:rsid w:val="00F6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520</Words>
  <Characters>2967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2024-09-21T07:05:00Z</dcterms:created>
  <dcterms:modified xsi:type="dcterms:W3CDTF">2024-09-21T07:06:00Z</dcterms:modified>
</cp:coreProperties>
</file>