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FA6" w:rsidRPr="0050225C" w:rsidRDefault="0050225C" w:rsidP="0050225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225C">
        <w:rPr>
          <w:rFonts w:ascii="Times New Roman" w:hAnsi="Times New Roman" w:cs="Times New Roman"/>
          <w:color w:val="000000"/>
          <w:sz w:val="28"/>
          <w:szCs w:val="28"/>
        </w:rPr>
        <w:t>Несущая способность хвостов для выбора горнотранспортного оборудования</w:t>
      </w:r>
    </w:p>
    <w:p w:rsidR="0050225C" w:rsidRDefault="0050225C" w:rsidP="005022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225C" w:rsidRDefault="0050225C" w:rsidP="005022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225C" w:rsidRPr="0050225C" w:rsidRDefault="0050225C" w:rsidP="005022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225C">
        <w:rPr>
          <w:rFonts w:ascii="Times New Roman" w:hAnsi="Times New Roman" w:cs="Times New Roman"/>
          <w:sz w:val="28"/>
          <w:szCs w:val="28"/>
        </w:rPr>
        <w:t xml:space="preserve">Опыт формирования и обслуживания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, имеющих отстойники оборотного водоснабжения, большие пылящие поверхности пляжей, дамбы обвалования, показывает, что поверхности пляжей из тонкодисперсных влажных хвостов зачастую не выдерживают перемещения большегрузной техники, которая часто проваливается и буксует. Поэтому на обводнённых пляжах обычно используют гусеничную технику высокой проходимости типа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болотоходов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. На основании такого опыта геологоразведочные и проектные организации, готовящие проекты разведки и разработки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, непременно задаются вопросом о несущей способности грунтов (хвостов) или прочности поверхности. Горный институт Кольского научного центра РАН имеет многолетний опыт исследований несущей способности грунтов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Мурманской области. Институтом были проведены измерения несущей способности грунтов на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хвостохранилище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апатит-нефелиновой фабрики № 2 (АНОФ-2) АО «Апатит»,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хвостохранилище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АО «Ковдорский ГОК» (поля 1 и 2) и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золошлакохранилище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ТЭЦ г. Апатиты. Для решения вопроса о выборе горнотранспортного оборудования при разработке карьером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следует оценить допустимые нагрузки на грунт в различных условиях и сравнить их с показателями удельного давления на грунт выбираемого оборудования. Допустимые нагрузки зависят от прочности материала, и в инженерной геологии и практике дорожного строительства разработаны методы и приборы для определения показателей прочности сыпучих грунтов [33]. Одним из методов определения прочности сыпучих грунтов является метод </w:t>
      </w:r>
      <w:proofErr w:type="gramStart"/>
      <w:r w:rsidRPr="0050225C">
        <w:rPr>
          <w:rFonts w:ascii="Times New Roman" w:hAnsi="Times New Roman" w:cs="Times New Roman"/>
          <w:sz w:val="28"/>
          <w:szCs w:val="28"/>
        </w:rPr>
        <w:t>зондирования</w:t>
      </w:r>
      <w:proofErr w:type="gramEnd"/>
      <w:r w:rsidRPr="0050225C">
        <w:rPr>
          <w:rFonts w:ascii="Times New Roman" w:hAnsi="Times New Roman" w:cs="Times New Roman"/>
          <w:sz w:val="28"/>
          <w:szCs w:val="28"/>
        </w:rPr>
        <w:t xml:space="preserve"> с помощью погружаемых в грунт приборов (зондов) различной конструкции. Нами выбран метод погружения ударника У-1, разработанного институтом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ДорНИИ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[34] (изготовлен в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ГоИ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>). Ударник У-1 (рис. 2.7) состоит из трёх частей: наконечника длиной 30 см с нанесёнными на него делениями через 1 см, гири массой 2.5 кг для забивки наконечника в грунт и направляющего штока для движения по нему гири, который является продолжением наконечника. Для измерения показателя прочности грунта ударник У-1 устанавливают вертикально наконечником на грунт, поднимают гирю по направляющему штоку на высоту 50 см и отпускают её. Падая, гиря загоняет стержень наконечника в грунт.</w:t>
      </w:r>
      <w:r w:rsidRPr="005022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0225C">
        <w:rPr>
          <w:rFonts w:ascii="Times New Roman" w:hAnsi="Times New Roman" w:cs="Times New Roman"/>
          <w:sz w:val="28"/>
          <w:szCs w:val="28"/>
        </w:rPr>
        <w:t xml:space="preserve">Сбрасывание гири повторяется до тех пор, пока наконечник не погрузится в грунт сперва на 10 см, а затем на 30 см. В процессе работы подсчитывается число ударов гирей при погружении на 10 см и далее с нарастающим итогом на 30 см. По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тарировочному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графику из работы [34] (рис. 2.8) определяют прочность грунта в месте замера на глубину до 10 и</w:t>
      </w:r>
      <w:proofErr w:type="gramEnd"/>
      <w:r w:rsidRPr="0050225C">
        <w:rPr>
          <w:rFonts w:ascii="Times New Roman" w:hAnsi="Times New Roman" w:cs="Times New Roman"/>
          <w:sz w:val="28"/>
          <w:szCs w:val="28"/>
        </w:rPr>
        <w:t xml:space="preserve"> 30 см. Показатель прочности грунта в данной точке определяется как среднеарифметическое значение этих двух замеров. Методика полевых замеров с помощью ударника включала в себя не только обследование намытой уже поверхности хвостов, но и замеры на глубине в опытном карьере (рис. 2.9). </w:t>
      </w:r>
      <w:r w:rsidRPr="0050225C">
        <w:rPr>
          <w:rFonts w:ascii="Times New Roman" w:hAnsi="Times New Roman" w:cs="Times New Roman"/>
          <w:sz w:val="28"/>
          <w:szCs w:val="28"/>
        </w:rPr>
        <w:lastRenderedPageBreak/>
        <w:t xml:space="preserve">Замеры несущей способности поверхностей вышеназванных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производились в разные годы, начиная с 1987 по 2007 гг. по мере поступления заказов. За это время изменялись характеристики объектов и сырья, цели и методики исследований. Поэтому для сравнения результатов необходимо кратко охарактеризовать свойства грунтов на объектах исследований. Хвосты как 1-го, так и 2-го поля представляют собой мелко- и тонкозернистые пески в основном класса менее 0.63 мм (более 99 %), но хвосты 2-го поля несколько мельче. Так, содержание класса -0.071 мм на 1-м поле составляло 20 %, а на 2-м поле в среднем около 46 %. Что касается хвостов АНОФ-2, то по литологическому типу из паспортов фабрики они отнесены к мелким пескам, хотя по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грансоставу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 xml:space="preserve"> выход класса менее 0.071 мм составляет 33.5 %, что говорит о </w:t>
      </w:r>
      <w:proofErr w:type="spellStart"/>
      <w:r w:rsidRPr="0050225C">
        <w:rPr>
          <w:rFonts w:ascii="Times New Roman" w:hAnsi="Times New Roman" w:cs="Times New Roman"/>
          <w:sz w:val="28"/>
          <w:szCs w:val="28"/>
        </w:rPr>
        <w:t>тонкозернистости</w:t>
      </w:r>
      <w:proofErr w:type="spellEnd"/>
      <w:r w:rsidRPr="0050225C">
        <w:rPr>
          <w:rFonts w:ascii="Times New Roman" w:hAnsi="Times New Roman" w:cs="Times New Roman"/>
          <w:sz w:val="28"/>
          <w:szCs w:val="28"/>
        </w:rPr>
        <w:t>.</w:t>
      </w:r>
      <w:r w:rsidRPr="00502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225C" w:rsidRDefault="0050225C">
      <w:r>
        <w:rPr>
          <w:noProof/>
          <w:lang w:eastAsia="ru-RU"/>
        </w:rPr>
        <w:drawing>
          <wp:inline distT="0" distB="0" distL="0" distR="0" wp14:anchorId="70BCF071" wp14:editId="4521414C">
            <wp:extent cx="4705708" cy="552743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139" t="19656" r="36130" b="32876"/>
                    <a:stretch/>
                  </pic:blipFill>
                  <pic:spPr bwMode="auto">
                    <a:xfrm>
                      <a:off x="0" y="0"/>
                      <a:ext cx="4716139" cy="5539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25C" w:rsidRDefault="0050225C"/>
    <w:p w:rsidR="00EC094C" w:rsidRDefault="00EC094C">
      <w:r>
        <w:rPr>
          <w:noProof/>
          <w:lang w:eastAsia="ru-RU"/>
        </w:rPr>
        <w:lastRenderedPageBreak/>
        <w:drawing>
          <wp:inline distT="0" distB="0" distL="0" distR="0" wp14:anchorId="50694CFB" wp14:editId="646D09FF">
            <wp:extent cx="5679616" cy="8216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1688" t="17198" r="39585" b="8916"/>
                    <a:stretch/>
                  </pic:blipFill>
                  <pic:spPr bwMode="auto">
                    <a:xfrm>
                      <a:off x="0" y="0"/>
                      <a:ext cx="5680935" cy="8218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094C" w:rsidRDefault="00EC094C"/>
    <w:p w:rsidR="00EC094C" w:rsidRDefault="00EC094C">
      <w:r>
        <w:rPr>
          <w:noProof/>
          <w:lang w:eastAsia="ru-RU"/>
        </w:rPr>
        <w:lastRenderedPageBreak/>
        <w:drawing>
          <wp:inline distT="0" distB="0" distL="0" distR="0" wp14:anchorId="78FD8C29" wp14:editId="64C5CDF9">
            <wp:extent cx="8544693" cy="3467100"/>
            <wp:effectExtent l="508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388" t="25095" r="26863" b="43346"/>
                    <a:stretch/>
                  </pic:blipFill>
                  <pic:spPr bwMode="auto">
                    <a:xfrm rot="16200000">
                      <a:off x="0" y="0"/>
                      <a:ext cx="8561728" cy="3474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094C" w:rsidRPr="00AC4706" w:rsidRDefault="00AC4706" w:rsidP="00AC4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706">
        <w:rPr>
          <w:rFonts w:ascii="Times New Roman" w:hAnsi="Times New Roman" w:cs="Times New Roman"/>
          <w:sz w:val="28"/>
          <w:szCs w:val="28"/>
        </w:rPr>
        <w:t>Представленные характеристики позволяют говорить об общности свой</w:t>
      </w:r>
      <w:proofErr w:type="gramStart"/>
      <w:r w:rsidRPr="00AC4706">
        <w:rPr>
          <w:rFonts w:ascii="Times New Roman" w:hAnsi="Times New Roman" w:cs="Times New Roman"/>
          <w:sz w:val="28"/>
          <w:szCs w:val="28"/>
        </w:rPr>
        <w:t>ств хв</w:t>
      </w:r>
      <w:proofErr w:type="gramEnd"/>
      <w:r w:rsidRPr="00AC4706">
        <w:rPr>
          <w:rFonts w:ascii="Times New Roman" w:hAnsi="Times New Roman" w:cs="Times New Roman"/>
          <w:sz w:val="28"/>
          <w:szCs w:val="28"/>
        </w:rPr>
        <w:t xml:space="preserve">остов флотационного обогащения руд за исключением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</w:t>
      </w:r>
      <w:r w:rsidRPr="00AC4706">
        <w:rPr>
          <w:rFonts w:ascii="Times New Roman" w:hAnsi="Times New Roman" w:cs="Times New Roman"/>
          <w:sz w:val="28"/>
          <w:szCs w:val="28"/>
        </w:rPr>
        <w:lastRenderedPageBreak/>
        <w:t xml:space="preserve">материалов. В основном в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хвостохранилищах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размещены мелко- и тонкозернистые материалы. Налицо влияние сегрегации на процесс размещения. Так, с глубиной и ближе к отстойникам размещается более мелкий материал (пробы из разведочных скважин), ближе к дамбам, на которых расположены пульповоды, материал более крупных классов (пробы из опытных карьеров). Плотности материала хвостов и даже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золошлаков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мало отличаются друг от друга. </w:t>
      </w:r>
      <w:proofErr w:type="gramStart"/>
      <w:r w:rsidRPr="00AC4706">
        <w:rPr>
          <w:rFonts w:ascii="Times New Roman" w:hAnsi="Times New Roman" w:cs="Times New Roman"/>
          <w:sz w:val="28"/>
          <w:szCs w:val="28"/>
        </w:rPr>
        <w:t xml:space="preserve">Естественная влажность хвостов в воздушно-сухом состоянии находится в пределах до 7 %. Показатель средней влажности хвостов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АНОФ-2 определён замерами по пробам, отобранным близко к акватории отстойников и имеющим влажность около 20 %. Высокий показатель влажности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золошлаков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объясняется высокой пористостью материала, причём эта пористость, измеренная методом полной влагоёмкости, включает не только поры между частицами, но и поры внутри самих частиц.</w:t>
      </w:r>
      <w:proofErr w:type="gramEnd"/>
      <w:r w:rsidRPr="00AC4706">
        <w:rPr>
          <w:rFonts w:ascii="Times New Roman" w:hAnsi="Times New Roman" w:cs="Times New Roman"/>
          <w:sz w:val="28"/>
          <w:szCs w:val="28"/>
        </w:rPr>
        <w:t xml:space="preserve"> Показатели пористости материала хвостов достаточно близки между собой. Известно, что от этого показателя в очень высокой степени зависит несущая способность сыпучего материала, так как пористость характеризует плотность упаковки материала: чем плотнее состояние поверхности, тем большую нагрузку она может выдержать без деформации. Кстати, пористость песков пустыни Каракумы в естественном состоянии составляет 50 %, что ненамного превышает показатели табл. 2.21 [35]. По классификации, приведённой в работе [36], хвосты </w:t>
      </w:r>
      <w:proofErr w:type="gramStart"/>
      <w:r w:rsidRPr="00AC4706">
        <w:rPr>
          <w:rFonts w:ascii="Times New Roman" w:hAnsi="Times New Roman" w:cs="Times New Roman"/>
          <w:sz w:val="28"/>
          <w:szCs w:val="28"/>
        </w:rPr>
        <w:t>рассматриваемых</w:t>
      </w:r>
      <w:proofErr w:type="gramEnd"/>
      <w:r w:rsidRPr="00AC47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можно отнести к мелким и пылеватым пескам, имеющим плотность сложения на границе между рыхлым состоянием и средней плотности. Результаты натурных замеров несущей способности (прочности) грунтов ударником У-1 на площадках опытных карьеров на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хвостохранилищах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представлены в табл. 2.22. Зависимости прочностных характеристик от глубины представлены на рис. 2.10. Анализ проведённых экспериментов показал, что прочность поверхности площадок хвостов не зависит от глубины нахождения площадок в пределах 2 м и влажности хвостов в пределах от 4 до 8–9 %, а в большей степени зависит от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грансостава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и степени уплотнения грунта. Средние значения прочности для хвостов 1-го поля находятся в пределах 0.4–0.5 МПа, прочность хвостов АНОФ-2 оказалась выше прочности хвостов 1-го поля и составила 0.5–0.7 МПа. Средние значения прочности хвостов 2-го поля сравнимы с аналогичными показателями для АНОФ-2, особенно для глубины 3–4.5 м, что объясняется в большей степени плотностью массива на этой глубине. Малые значения прочности хвостов поля 2 на площадках до 2 м объясняются большой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разрыхлённостью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 xml:space="preserve"> этого слоя из-за постоянного переноса хвостов за счёт дующих ветров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4706">
        <w:rPr>
          <w:rFonts w:ascii="Times New Roman" w:hAnsi="Times New Roman" w:cs="Times New Roman"/>
          <w:sz w:val="28"/>
          <w:szCs w:val="28"/>
        </w:rPr>
        <w:t xml:space="preserve">Одновременно с замерами в опытных карьерах были выполнены замеры на существующих дорогах </w:t>
      </w:r>
      <w:proofErr w:type="spellStart"/>
      <w:r w:rsidRPr="00AC4706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C4706">
        <w:rPr>
          <w:rFonts w:ascii="Times New Roman" w:hAnsi="Times New Roman" w:cs="Times New Roman"/>
          <w:sz w:val="28"/>
          <w:szCs w:val="28"/>
        </w:rPr>
        <w:t>. Хорошо накатанные дороги с постоянным движением транспорта имели прочность 1.0–1.2 МПа, а на вспомогательных дорогах прочность грунта составляла не ниже 0.6 МПа. Эти данные подтверждают известный в теории дорожного строительства факт, по которому прочность земляных дорожных покрытий в процессе укатывания из-за понижения пористости массива возрастает в несколько раз.</w:t>
      </w:r>
    </w:p>
    <w:p w:rsidR="00EC094C" w:rsidRDefault="00EC094C"/>
    <w:p w:rsidR="0050225C" w:rsidRDefault="00AC4706">
      <w:r>
        <w:rPr>
          <w:noProof/>
          <w:lang w:eastAsia="ru-RU"/>
        </w:rPr>
        <w:drawing>
          <wp:inline distT="0" distB="0" distL="0" distR="0" wp14:anchorId="68D1F007" wp14:editId="249C4D8C">
            <wp:extent cx="6286185" cy="8178800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8700" t="16598" r="32916" b="17749"/>
                    <a:stretch/>
                  </pic:blipFill>
                  <pic:spPr bwMode="auto">
                    <a:xfrm>
                      <a:off x="0" y="0"/>
                      <a:ext cx="6284879" cy="8177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11B4" w:rsidRDefault="005711B4">
      <w:r>
        <w:rPr>
          <w:noProof/>
          <w:lang w:eastAsia="ru-RU"/>
        </w:rPr>
        <w:lastRenderedPageBreak/>
        <w:drawing>
          <wp:inline distT="0" distB="0" distL="0" distR="0" wp14:anchorId="03EEDB13" wp14:editId="6C571E99">
            <wp:extent cx="4938401" cy="7454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1535" t="19181" r="39819" b="3940"/>
                    <a:stretch/>
                  </pic:blipFill>
                  <pic:spPr bwMode="auto">
                    <a:xfrm>
                      <a:off x="0" y="0"/>
                      <a:ext cx="4941952" cy="7460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11B4" w:rsidRDefault="005711B4">
      <w:r>
        <w:rPr>
          <w:noProof/>
          <w:lang w:eastAsia="ru-RU"/>
        </w:rPr>
        <w:lastRenderedPageBreak/>
        <w:drawing>
          <wp:inline distT="0" distB="0" distL="0" distR="0" wp14:anchorId="54D6B369" wp14:editId="5A8893BF">
            <wp:extent cx="5283200" cy="7860771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8401" t="13648" r="31743" b="7380"/>
                    <a:stretch/>
                  </pic:blipFill>
                  <pic:spPr bwMode="auto">
                    <a:xfrm>
                      <a:off x="0" y="0"/>
                      <a:ext cx="5284854" cy="7863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11B4" w:rsidRDefault="005711B4">
      <w:r>
        <w:rPr>
          <w:noProof/>
          <w:lang w:eastAsia="ru-RU"/>
        </w:rPr>
        <w:lastRenderedPageBreak/>
        <w:drawing>
          <wp:inline distT="0" distB="0" distL="0" distR="0" wp14:anchorId="51FADE3F" wp14:editId="11A7CC01">
            <wp:extent cx="6443766" cy="565150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1535" t="29138" r="39193" b="25220"/>
                    <a:stretch/>
                  </pic:blipFill>
                  <pic:spPr bwMode="auto">
                    <a:xfrm>
                      <a:off x="0" y="0"/>
                      <a:ext cx="6446519" cy="5653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11B4" w:rsidSect="00AC470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FA6"/>
    <w:rsid w:val="0050225C"/>
    <w:rsid w:val="005711B4"/>
    <w:rsid w:val="00AB5FA6"/>
    <w:rsid w:val="00AC4706"/>
    <w:rsid w:val="00EC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2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2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2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2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4</cp:revision>
  <dcterms:created xsi:type="dcterms:W3CDTF">2022-09-13T08:31:00Z</dcterms:created>
  <dcterms:modified xsi:type="dcterms:W3CDTF">2022-09-13T08:45:00Z</dcterms:modified>
</cp:coreProperties>
</file>