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375" w:rsidRDefault="00F456C3" w:rsidP="001A637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4 лекция :   </w:t>
      </w:r>
      <w:bookmarkStart w:id="0" w:name="_GoBack"/>
      <w:bookmarkEnd w:id="0"/>
      <w:r w:rsidR="001A6375" w:rsidRPr="001A6375">
        <w:rPr>
          <w:rFonts w:ascii="Times New Roman" w:hAnsi="Times New Roman" w:cs="Times New Roman"/>
          <w:sz w:val="28"/>
          <w:szCs w:val="28"/>
        </w:rPr>
        <w:t xml:space="preserve">Хвостовые и </w:t>
      </w:r>
      <w:proofErr w:type="spellStart"/>
      <w:r w:rsidR="001A6375" w:rsidRPr="001A6375">
        <w:rPr>
          <w:rFonts w:ascii="Times New Roman" w:hAnsi="Times New Roman" w:cs="Times New Roman"/>
          <w:sz w:val="28"/>
          <w:szCs w:val="28"/>
        </w:rPr>
        <w:t>шлакозольные</w:t>
      </w:r>
      <w:proofErr w:type="spellEnd"/>
      <w:r w:rsidR="001A6375" w:rsidRPr="001A6375">
        <w:rPr>
          <w:rFonts w:ascii="Times New Roman" w:hAnsi="Times New Roman" w:cs="Times New Roman"/>
          <w:sz w:val="28"/>
          <w:szCs w:val="28"/>
        </w:rPr>
        <w:t xml:space="preserve"> техногенные месторождения </w:t>
      </w:r>
    </w:p>
    <w:p w:rsidR="00217CAF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6375">
        <w:rPr>
          <w:rFonts w:ascii="Times New Roman" w:hAnsi="Times New Roman" w:cs="Times New Roman"/>
          <w:sz w:val="28"/>
          <w:szCs w:val="28"/>
        </w:rPr>
        <w:t>В Мурманской области можно выделить 17 крупных ТМ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(технологические месторождения)</w:t>
      </w:r>
      <w:r w:rsidRPr="001A6375">
        <w:rPr>
          <w:rFonts w:ascii="Times New Roman" w:hAnsi="Times New Roman" w:cs="Times New Roman"/>
          <w:sz w:val="28"/>
          <w:szCs w:val="28"/>
        </w:rPr>
        <w:t xml:space="preserve"> класса хвостовых отвалов, начало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 которых относится к 1940–1950-м гг. Особенности формирования, размещения, структурные признаки этих ТМ представлены в широком диапазоне, поэтому результаты анализа условий освоения этого класса ТМ будут представительными и для других регионов России. В таблице 2.1 представлены основные данные по хвостовым отвалам Мурманской области, взятые из ранее составленного Горным институтом Банка данных техногенных месторождений Мурманской области [11]. Основные особенности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>сформированных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охарактеризованы ниже. 1. В подавляющем большинстве отвалы хвостов обогащения, зольные и шлаковые отвалы расположены на дневной поверхности, что предопределяет открытый способ их разработки. Однако имеются случаи складирования хвостов обогащения и шлаков в подземных горных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>выработках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 как в качестве закладочного материала, так и складирования их в случае наличия токсичных компонентов, а также в редких случаях складирования материала с целью сохранения его природных свойств, которые могут измениться при хранении на поверхности. 2. Большим преимуществом ТМ является расположение их в уже освоенных районах, что не требует создания новой инфраструктуры, а размещение вблизи обогатительных производств позволяет использовать задействованные промышленные площадки и оборудование для переработки ТС. Эти факторы в значительной степени снижают капитальные и эксплуатационные затраты на освоение ТМ, а также отрицательное воздействие на окружающую природную среду. 3.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>Материал рассматриваемого класса ТМ чаще всего представляет собой пески различных подклассов крупности от тонких до крупных (до 2 мм).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 Гранулированные шлаки и хвосты слюдяного производства даже можно отнести к подклассу мелкого гравия. Это свойство в значительной мере определяет технологию добычи, начиная со вскрытия и заканчивая выбором транспорта, типами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усреднительных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складов и технологией повторной переработки. Эти же свойства будут определять меры по охране окружающей природы и безопасности ведения горных работ. 4. Химический состав хвостов показывает наличие полезных компонентов, присущих первоначальным перерабатываемым рудам. Причём остаточное содержание основных компонентов в хвостах достаточно высоко, что делает их пригодными для повторного извлечения. Эти хвосты содержат комплекс полезных компонентов, не извлеченных при первичном обогащении, которые </w:t>
      </w:r>
      <w:r w:rsidRPr="001A6375">
        <w:rPr>
          <w:rFonts w:ascii="Times New Roman" w:hAnsi="Times New Roman" w:cs="Times New Roman"/>
          <w:sz w:val="28"/>
          <w:szCs w:val="28"/>
        </w:rPr>
        <w:lastRenderedPageBreak/>
        <w:t>могут быть выделены при повторной переработке. Химический состав в значительной степени определяет экономику повторной переработки хвостов и их использования. Хвосты обогащения в Мурманской области по химическому составу и концентрациям отнесены к веществам 4-го класса опасности, что не потребует дополнительных мер безопасности при их добыче.</w:t>
      </w: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8B0BEB6" wp14:editId="668BDBE2">
            <wp:extent cx="9153307" cy="4469453"/>
            <wp:effectExtent l="0" t="1270" r="889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6923" t="27350" r="11923" b="10882"/>
                    <a:stretch/>
                  </pic:blipFill>
                  <pic:spPr bwMode="auto">
                    <a:xfrm rot="16200000">
                      <a:off x="0" y="0"/>
                      <a:ext cx="9172069" cy="4478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A6375" w:rsidRP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6375">
        <w:rPr>
          <w:rFonts w:ascii="Times New Roman" w:hAnsi="Times New Roman" w:cs="Times New Roman"/>
          <w:sz w:val="28"/>
          <w:szCs w:val="28"/>
        </w:rPr>
        <w:lastRenderedPageBreak/>
        <w:t xml:space="preserve">6. Подавляющее большинство хвостовых и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золошлаковых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отвалов крупных ТЭЦ представляют собой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гидроотвалы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, которые сформированы за счёт подачи и распределения материала хвостов и золы с помощью гидротранспорта.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 xml:space="preserve">По существующей классификации [12–14]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гидроотвалы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подразделяют в зависимости от рельефа основания: а) на овражно-балочные, создаваемые путём возведения насыпной или намывной дамбы, перегораживающей балку или долину; б) равнинные, расположенные на ровной или слабонаклонной местности, обвалование которых производится с четырёх сторон; в) овражно-равнинные, устраиваются на равнинах, пересеченных оврагами, которые перекрываются плотинами, а равнинная часть обваловывается;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 г)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>пойменные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, располагаются в поймах рек с обвалованием с двух-трёх сторон; д)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косогорные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, намываются на склонах (косогорах), ограждаемые с трёх сторон; е) котлованные и котловинные, расположенные соответственно в выработанных пространствах карьеров и естественных понижениях (рис. 2.1). Конструкция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гидроотвала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в зависимости от рельефа будет определять: границы карьера, вскрытие ТМ,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приконтурные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потери ТС, размещение горного оборудования, направление добычных работ и производительность карьера. Отвалы хвостов Мурманской области относятся в своем большинстве к овражно-балочному, равнинному и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косогорному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типам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гидроотвалов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. По конструкции и порядку возведения дамбы обвалования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гидроотвалы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подразделяются на три категории: а) дамба сооружается из привозного грунта сразу на всю проектную высоту; б) дамба намывается из материала хвостов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поярусно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; в) дамба сооружается из привозного грунта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поярусно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. От конструкции и материала дамбы будут зависеть: распределение полезного компонента по площади и с глубиной, засорение материала хвостов, необходимость удаления дамбы в период отработки или сохранения дамб для последующего использования, но тогда будут возрастать потери ТС у дамб и на контактах. По приёмной способности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гидроотвалы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подразделяются на четыре класса: I — свыше 500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 м3 ; II — от 100 до 500 млн м 3 ; III — от 10 до 100 млн м 3 ; IV — до 10 млн м 3 . Этот признак определяет объём промышленных запасов для отработки, производительность карьера и срок отработки залежи.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>крупных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ГОКов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Мурманской области можно отнести к классу II, небольших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ГОКов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и недействующих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— к III и IV классам. Однако по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>действующему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 СНиП 35-01-2003 класс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гидроотвала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в большей степени определяется безопасностью основных сооружений — ограждающих дамб и дамб обвалования. За критерий классности принята максимальная высота дамбы и типы грунтов в её основании с учётом оценки последствий аварий сооружения, а не только вместимости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. </w:t>
      </w:r>
      <w:r w:rsidRPr="001A6375">
        <w:rPr>
          <w:rFonts w:ascii="Times New Roman" w:hAnsi="Times New Roman" w:cs="Times New Roman"/>
          <w:sz w:val="28"/>
          <w:szCs w:val="28"/>
        </w:rPr>
        <w:lastRenderedPageBreak/>
        <w:t xml:space="preserve">По этому критерию к классу I относятся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гидроотвалы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с дамбами высотой свыше 50 м, к классу II — от 20 до 50 м, к классу III — от 10 до 20 м, к классу IV — 10 и менее метров.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 xml:space="preserve">По высоте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гидроотвалы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подразделяют: а) на низкие — до 10 м; б) средние — 10–30 м; в) высокие — более 30 м. Высота отвалов будет оказывать влияние на величину потерь ТС на контактах с дневной поверхностью и дамбами, на производительность карьера, содержание полезного компонента в добываемой горной массе, размещение вскрывающих выработок и автодорог, величину загрязнения атмосферы пылью, размещение вторичных отходов.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 Хвостовые отвалы Мурманской области по высоте можно отнести к категории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>средних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 и высоких</w:t>
      </w:r>
    </w:p>
    <w:p w:rsidR="001A6375" w:rsidRP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Pr="001A6375" w:rsidRDefault="001A6375" w:rsidP="001A63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Pr="001A6375" w:rsidRDefault="001A6375" w:rsidP="001A6375">
      <w:pPr>
        <w:jc w:val="both"/>
        <w:rPr>
          <w:rFonts w:ascii="Times New Roman" w:hAnsi="Times New Roman" w:cs="Times New Roman"/>
          <w:sz w:val="28"/>
          <w:szCs w:val="28"/>
        </w:rPr>
      </w:pPr>
      <w:r w:rsidRPr="001A637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7EFD69D" wp14:editId="670914C2">
            <wp:extent cx="6086701" cy="835152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4674" t="12329" r="32193" b="6849"/>
                    <a:stretch/>
                  </pic:blipFill>
                  <pic:spPr bwMode="auto">
                    <a:xfrm>
                      <a:off x="0" y="0"/>
                      <a:ext cx="6093798" cy="8361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A6375" w:rsidRPr="001A6375" w:rsidRDefault="001A6375" w:rsidP="001A637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Default="001A6375" w:rsidP="001A637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A6375" w:rsidRPr="001A6375" w:rsidRDefault="001A6375" w:rsidP="001A6375">
      <w:pPr>
        <w:jc w:val="both"/>
        <w:rPr>
          <w:rFonts w:ascii="Times New Roman" w:hAnsi="Times New Roman" w:cs="Times New Roman"/>
          <w:sz w:val="28"/>
          <w:szCs w:val="28"/>
        </w:rPr>
      </w:pPr>
      <w:r w:rsidRPr="001A6375">
        <w:rPr>
          <w:rFonts w:ascii="Times New Roman" w:hAnsi="Times New Roman" w:cs="Times New Roman"/>
          <w:sz w:val="28"/>
          <w:szCs w:val="28"/>
        </w:rPr>
        <w:lastRenderedPageBreak/>
        <w:t>6. Техногенные месторождения на поверхности, как правило, не имеют вскрышных пород, что является одним из главных преимуще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и добыче. Это условие оказывает влияние на всю технологию добычи, элементы системы разработки, экономику и загрязнение окружающей среды.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Рекультивируемые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ТМ иногда прикрываются слоем почвы для посадки трав, кустарников и леса. При разработке таких месторождений понадобятся вскрышные работы в небольших объёмах. Если же продуктивная толща хвостов перекрыта весьма бедными слоями (вторичными хвостами), то эти слои по экономическим критериям могут быть отнесены к удаляемой вскрыше. 7. На действующих хвостовых отвалах, намыв которых производится с помощью гидротранспорта, характерно наличие прудов-отстойников, занимающих часть верхней площадки таких отвалов. Согласно пункту 577 правил безопасности 2014 г. при ведении открытых горных работ: «В процессе эксплуатации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гидроотвала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и при наращивании ограждающих дамб запрещается срезка грунта, устройство карьеров и котлованов в нижнем бьефе и на низовом откосе дамбы, а также в ложе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» [15]. </w:t>
      </w:r>
      <w:proofErr w:type="gramStart"/>
      <w:r w:rsidRPr="001A6375">
        <w:rPr>
          <w:rFonts w:ascii="Times New Roman" w:hAnsi="Times New Roman" w:cs="Times New Roman"/>
          <w:sz w:val="28"/>
          <w:szCs w:val="28"/>
        </w:rPr>
        <w:t xml:space="preserve">Поэтому необходимо переводить действующее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хвостохранилище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либо во временно недействующее, либо полностью прекращать работы по намыву и производить осушение пруда-отстойника и массива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>. 8.</w:t>
      </w:r>
      <w:proofErr w:type="gramEnd"/>
      <w:r w:rsidRPr="001A6375">
        <w:rPr>
          <w:rFonts w:ascii="Times New Roman" w:hAnsi="Times New Roman" w:cs="Times New Roman"/>
          <w:sz w:val="28"/>
          <w:szCs w:val="28"/>
        </w:rPr>
        <w:t xml:space="preserve"> Одна из характерных ошибок раннего проектирования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состояла в отсутствии обязательных мер по подготовке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подотвальных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площадей, в результате чего под хвостами оставлялись деревья, кустарники, слой почвы. Кроме того, при переносе трубопроводов не предусматривалась уборка старых опор. В результате </w:t>
      </w:r>
      <w:proofErr w:type="spellStart"/>
      <w:r w:rsidRPr="001A6375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1A6375">
        <w:rPr>
          <w:rFonts w:ascii="Times New Roman" w:hAnsi="Times New Roman" w:cs="Times New Roman"/>
          <w:sz w:val="28"/>
          <w:szCs w:val="28"/>
        </w:rPr>
        <w:t xml:space="preserve"> часто засорены деревом, металлом, бетоном, что потребует определённых мер очистки при добыче, особенно на контактах с первоначальной поверхностью и дамбами</w:t>
      </w:r>
    </w:p>
    <w:sectPr w:rsidR="001A6375" w:rsidRPr="001A6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CAF"/>
    <w:rsid w:val="001A6375"/>
    <w:rsid w:val="00217CAF"/>
    <w:rsid w:val="00F4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6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63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6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63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1193</Words>
  <Characters>6804</Characters>
  <Application>Microsoft Office Word</Application>
  <DocSecurity>0</DocSecurity>
  <Lines>56</Lines>
  <Paragraphs>15</Paragraphs>
  <ScaleCrop>false</ScaleCrop>
  <Company/>
  <LinksUpToDate>false</LinksUpToDate>
  <CharactersWithSpaces>7982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Ee</cp:lastModifiedBy>
  <cp:revision>3</cp:revision>
  <dcterms:created xsi:type="dcterms:W3CDTF">2022-09-12T10:22:00Z</dcterms:created>
  <dcterms:modified xsi:type="dcterms:W3CDTF">2022-09-13T00:22:00Z</dcterms:modified>
</cp:coreProperties>
</file>